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P/13486/2012 vom 29. Oktober 2018</w:t>
      </w:r>
    </w:p>
    <w:p>
      <w:r>
        <w:t>GE Cour de justice, 2018-10-29, FR</w:t>
      </w:r>
    </w:p>
    <w:p>
      <w:r>
        <w:rPr>
          <w:b/>
        </w:rPr>
        <w:t xml:space="preserve">Quelle: </w:t>
      </w:r>
      <w:r>
        <w:t>https://mcp.opencaselaw.ch/entscheid/ge_gerichte_P_13486_2012</w:t>
      </w:r>
    </w:p>
    <w:p>
      <w:r>
        <w:t>FR: GE_GERICHTE P/13486/2012 du 29 octobre 2018</w:t>
      </w:r>
    </w:p>
    <w:p>
      <w:r>
        <w:t>IT: GE_GERICHTE P/13486/2012 del 29 ottobre 2018</w:t>
      </w:r>
    </w:p>
    <w:p>
      <w:pPr>
        <w:pStyle w:val="Heading2"/>
      </w:pPr>
      <w:r>
        <w:t>Regeste</w:t>
      </w:r>
    </w:p>
    <w:p>
      <w:r>
        <w:t>PRÉSOMPTION D'INNOCENCE ; ABUS DE CONFIANCE ; FIXATION DE LA PEINE ; FRAIS JUDICIAIRES ; COMPENSATION DE CRÉANCES | CP.138.al1.ch1; CP.47; CP.42.al1; CPP.428; CPP.429; CPP.442.al4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Commet un abus de confiance au sens de l'art. 138 ch. 1 al. 1 CP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 cette volonté doit se manifester par des signes extérieurs. L'auteur incorpore le bien à son patrimoine, pour le garder, le consommer, l'aliéner ou pour en disposer (le prêter, l'échanger, le mettre en gage, le donner, etc.) comme le ferait un propriétaire (A. MACALUSO / L. MOREILLON / N. QUELOZ [éds], Commentaire romand, Code pénal II, vol. II, Partie spéciale : art. 111-392 CP , Bâle 2017, n. 28 ad art. 138). Autrement dit, l'auteur par un comportement objectivement constatable, se conduit comme s'il était le propriétaire de la chose et ceci en violation de l'accord qui lui a permis d'en acquérir la possession (ATF 121 IV 25 consid. 1c).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(ATF 120 IV 276 consid. 2). 3.1.2.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133 IV 21 consid. 6.1.2 ; 118 IV 27 consid. 3a p. 29 s., 32 consid. 2a). S'il devait le tenir à disposition de l'ayant droit à un moment déterminé ou à l'échéance d'un délai déterminé, il doit avoir eu la volonté et la possibilité de le restituer à ce moment ou à cette échéance (ATF 118 IV 27 consid. 3a). Le dessein d'enrichissement peut être réalisé par dol éventuel (ATF 118 IV 27 consid. 2a).</w:t>
      </w:r>
    </w:p>
    <w:p>
      <w:r>
        <w:rPr>
          <w:b/>
        </w:rPr>
        <w:t>E. 3.2</w:t>
      </w:r>
    </w:p>
    <w:p>
      <w:r>
        <w:t>Il est établi, à teneur des pièces du dossier que E______, ayant pour seul administrateur l'intimé, a mis en garantie un bateau F______ dans le cadre d'une convention de cession d'actions conclue le 30 mars 2015 entre H______ et I______ d'une part et C______ d'autre part. A teneur de ladite convention, E______ indiquait être " seule propriétaire " des quatre bateaux cédés aux fins de garantie, pour une valeur totale de CHF 345'000.-. Dès sa signature, H______ et I______ en devenaient copropriétaires, par l'intermédiaire de E______, jusqu'au paiement du prix de vente des actions. Or, comme en attestent les déclarations concordantes des parties, le bateau en question a été livré à E______ par D______ dans un but de promotion et de vente à des tiers. L'intimé a concédé lors de ses premières déclarations que le bateau était constamment resté " au nom " de la société slovène, qui en avait ensuite demandé la restitution, ce qui a été chose faite, après remboursement à E______ de divers frais découlant notamment de l'importation en Suisse. Ce bateau a ainsi été confié à E______, qui ne pouvait en disposer que selon les termes convenus avec D______ et en aucun cas pour être mis en garantie, qui plus est pour le compte d'une autre société. Les éléments constitutifs de l'art. 138 al. 1 1 ère phrase CP sont réalisés, E______ ayant disposé du navire comme si elle en était propriétaire, alors que tel n'était pas le cas. C______ s'est donc trouvée enrichie temporairement du bateau remis en garantie pour son compte par E______. Comme elle le reconnait implicitement, E______ n'a pas été en mesure de le restituer en tout temps, puisqu'il dépendait alors du bon vouloir des créanciers en faveur duquel ce bateau était mis en gage d'accepter son remplacement par une autre valeur, consentement sur lequel il n'avait que peu d'emprise. L'élément subjectif est également réalisé, l'intimé s'étant prévalu jusqu'aux débats de première instance, de ce que E______ était devenue propriétaire du bateau. Il ne saurait par conséquent être suivi lorsqu'il affirme qu'il s'agissait d'une simple erreur, corrigée par la suite. Il y a donc lieu de reconnaître l'intimé coupable d'abus de confiance et de réformer le jugement entrepris.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w:t>
      </w:r>
    </w:p>
    <w:p>
      <w:r>
        <w:rPr>
          <w:b/>
        </w:rPr>
        <w:t>E. 4.2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 Jugendstrafgesetz ,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(ATF 135 IV 87 consid. 2). Les antécédents judiciaires ne sauraient toutefois conduire à une augmentation massive de la peine, parce que cela reviendrait à condamner une deuxième fois pour des actes déjà jugés (ATF 120 IV 136 consid. 3b). 4.3.1. Les nouvelles dispositions sur le droit des sanctions sont entrées en vigueur le 1 er janvier 2018. Cette réforme marque globalement un durcissement. En particulier,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4.3.2.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4.3.3.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4.3.4.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 arrêt du Tribunal fédéral 6B_200/2009 du 27 août 2009 consid. 7.1). Le montant du jour-amende ne peut être inférieur à CHF 10.- (ATF 135 IV 180 consid. 1.4.2). 4.3.5.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w:t>
      </w:r>
    </w:p>
    <w:p>
      <w:r>
        <w:rPr>
          <w:b/>
        </w:rPr>
        <w:t>E. 4.4</w:t>
      </w:r>
    </w:p>
    <w:p>
      <w:r>
        <w:t>La faute de l'appelant est moyenne. Il s'en est pris au patrimoine d'une société avec laquelle il était en affaires et a disposé sans droit, pendant plus d'une année, d'un bateau d'une valeur de plusieurs dizaines de milliers de francs qui lui avait été confié, pour servir les intérêts de sa propre société. Sa collaboration à la procédure a été relativement bonne, mais sa prise de conscience nulle, celui-ci persistant à affirmer qu'il était devenu propriétaire du bateau et avait le droit d'en disposer. Il a en particulier un antécédent relativement récent pour détournement de valeurs patrimoniales mises sous mains de la justice. Au vu de ce qui précède, il se justifie de prononcer une peine pécuniaire de 60 jours-amende à CHF 30.- l'unité, laquelle consacre une correcte application des principes précités et est adaptée à la situation financière de l’intimé. Le sursis, dont les conditions peuvent encore être considérées comme réalisées en l'espèce, sera accordé à l'intimé, le pronostic ne paraissant pas clairement défavorable. La durée du délai d'épreuve sera fixée à trois ans afin de le dissuader d'une récidive. Le jugement de première instance sera réformé en conséquence.</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5.2.1. Compte tenu du verdict de culpabilité prononcé en appel en lien avec les faits dénoncés par D______, il y a lieu de revoir les frais fixés par le tribunal de première instance (art. 428 al. 3 CPP) et d'en faire supporter 1/5 ème à l'intimé, l'instruction de ce complexe de faits n'ayant débuté qu'au mois de novembre 2016, alors que la procédure en lien avec les autres faits reprochés à l'intimé - et pour lesquels il a été acquitté - a duré presque six ans et a donné lieu à de nombreux actes d'instruction. 5.2.2. En appel, l'intimé succombe entièrement. Il se justifie partant de lui faire supporter la totalité des frais de la procédure, qui comprennent un émolument de CHF 2'500.- (art. 428 CPP).</w:t>
      </w:r>
    </w:p>
    <w:p>
      <w:r>
        <w:rPr>
          <w:b/>
        </w:rPr>
        <w:t>E. 6</w:t>
      </w:r>
    </w:p>
    <w:p>
      <w:r>
        <w:t>6.1.1. À teneur de l'art. 429 CPP, le prévenu a notamment droit, s'il bénéficie d'une ordonnance de classement, à une indemnité pour les dépenses occasionnées par l'exercice raisonnable de ses droits de procédure (let. a.). La question de l'indemnisation du prévenu (art. 429 CPP) doit être traitée en relation avec celle des frais (art. 426 CPP). Si l'État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(ATF 137 IV 352 consid. 2.4.2 ; arrêts du Tribunal fédéral 6B_385/2017 du 5 décembre 2017 consid. 2.1 ; 6B_620/2016 du 17 mai 2017 consid. 2.2.2 et les références citées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 12 octobre 2017 consid. 2.1). 6.1.2.1.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6B_300/2012 du 10 juin 2013 consid. 2.4 ; cf. Message relatif à l'unification du droit de la procédure pénale du 21 décembre 2005, FF 2006 1057, p. 1313). Il est donc concevable d'indemniser, dans une mesure réduite, le prévenu qui doit supporter l'ensemble des frais de justice (A. KUHN / Y. JEANNERET [éds.], Commentaire romand : Code de procédure pénale suisse , Bâle 2011, n. 5 ad art. 430 CPP). Lorsque la condamnation aux frais n'est que partielle, la réduction de l'indemnité devrait s'opérer dans la même mesure (arrêts du Tribunal fédéral 6B_548/2018 du 18 juillet 2018 consid. 1.1.2 ; 6B_1238/2017 du 12 avril 2018 consid. 2.1 ; 6B_385/2017 du 5 décembre 2017 consid. 2.1).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arrêts du Tribunal fédéral 6B_548/2018 du 18 juillet 2018 consid. 1.1.2 ; 6B_1238/2017 du 12 avril 2018 consid. 2.1).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6.1.2.2. La condamnation d'un prévenu acquitté à supporter tout ou partie des frais, respectivement le refus de lui allouer une indemnisation à raison du préjudice subi par la procédure pénale, doit respecter la présomption d'innocence, consacré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(ATF 119 Ia 332 consid. 1b p. 334 ; ATF 116 Ia 162 consid. 2c p. 168 ; arrêts du Tribunal fédéral 6B_1176/2015 du 23 novembre 2016 consid. 1.1 ; 6B_203/2015 du 16 mars 2016 consid. 1.1 ; 6B_300/2012 du 10 juin 2013 consid. 2.4 ; 6B_331/2012 du 22 octobre 2012 consid. 2.3). 6.1.3. L'indemnité fondée sur l'art. 429 al. 1 let. a CPP pour les dépenses obligatoires occasionnées par la procédure ne produit pas d'intérêts (ATF 143 IV 495 consid. 2.2.4 ; arrêt du Tribunal fédéral 6B_1008/2017 du 5 avril 2018 consid. 2.3 in fine). 6.2.1. A l'aune de la ventilation des frais de la procédure, il y a lieu d'accorder à l'intimé 4/5 èmes de l'indemnité arrêtée ex aequo et bono pour la procédure de première instance, soit CHF 56'000.-, aucun intérêt n'étant dû pour le surplus. L'intimé n'a en effet, à juste titre, pas critiqué le raisonnement du premier juge ayant considéré que l'activité fournie par le conseil du prévenu, par 273 heures et 33 minutes, de même que le montant de CHF 106'719.20 excédaient le coût d'une défense raisonnable en l'espèce, ni en conséquence une indemnisation de CHF 70'000.-, correspondant à une activité de l'ordre de 175 heures, audience de jugement comprise, au tarif horaire de CHF 400.-. Dite indemnisation, toutefois réduite d'1/5 ème , apparait conforme aux éléments de la procédure à prendre en compte et sera confirmée. Il sera enfin rappelé que l'indemnité allouée à l'intimé en première instance tenait compte de son acquittement, non remis en cause en appel par le Ministère public, en lien avec le plus gros volet des faits reprochés, lié à la plainte de L______. Cette indemnité ne saurait partant être davantage réduite, sous peine de violer le principe de la présomption d'innocence. 6.2.2. Dans la mesure où l'intimé succombe en appel, il ne saurait prétendre à quelconque indemnisation pour ses frais de défense.</w:t>
      </w:r>
    </w:p>
    <w:p>
      <w:r>
        <w:rPr>
          <w:b/>
        </w:rPr>
        <w:t>E. 7</w:t>
      </w:r>
    </w:p>
    <w:p>
      <w:r>
        <w:t>7.1.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w:t>
      </w:r>
    </w:p>
    <w:p>
      <w:r>
        <w:rPr>
          <w:b/>
        </w:rPr>
        <w:t>E. 7.2</w:t>
      </w:r>
    </w:p>
    <w:p>
      <w:r>
        <w:t>Cette créance de l'intimé envers l'Etat sera compensée avec celle portant sur les frais de procédure de première instance et d'appel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