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P/13461/2012 vom 30. Juni 2015</w:t>
      </w:r>
    </w:p>
    <w:p>
      <w:r>
        <w:t>GE Cour de justice, 2015-06-30, FR</w:t>
      </w:r>
    </w:p>
    <w:p>
      <w:r>
        <w:rPr>
          <w:b/>
        </w:rPr>
        <w:t xml:space="preserve">Quelle: </w:t>
      </w:r>
      <w:r>
        <w:t>https://mcp.opencaselaw.ch/entscheid/ge_gerichte_P_13461_2012</w:t>
      </w:r>
    </w:p>
    <w:p>
      <w:r>
        <w:t>FR: GE_GERICHTE P/13461/2012 du 30 juin 2015</w:t>
      </w:r>
    </w:p>
    <w:p>
      <w:r>
        <w:t>IT: GE_GERICHTE P/13461/2012 del 30 giugno 2015</w:t>
      </w:r>
    </w:p>
    <w:p>
      <w:pPr>
        <w:pStyle w:val="Heading2"/>
      </w:pPr>
      <w:r>
        <w:t>Regeste</w:t>
      </w:r>
    </w:p>
    <w:p>
      <w:r>
        <w:t>IN DUBIO PRO REO; PRÉSOMPTION D'INNOCENCE; INJURE; VOIES DE FAIT; EXEMPTION DE PEINE; AVOCAT; HONORAIRES | CP.177.1; CP.126.1; CPP.391.2; CPP.429.1; CPP.428.1; CPP.428.3; CPP.426.1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w:t>
      </w:r>
    </w:p>
    <w:p>
      <w:r>
        <w:t>Se rend coupable d'injure celui qui aura, par la parole, l'écriture, l'image, le geste ou par des voies de fait, attaqué autrui dans son honneur (art. 177 al. 1 CP).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 une expression outrageante, des termes de mépris ou des invectives. (ATF 128 IV 53 consid. I/A/1/f/aa, et les références citées ; arrêts du Tribunal fédéral 6B_794/2007 du 14 avril 2008 consid. 3.1. et 6B_811/2007 du 25 février 2008 consid. 4.2).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 117 IV 29 consid. 2c ; 105 IV 196 consid. 2a). Traiter une femme de "putain" est attentatoire à l'honneur, dès lors que cela revient à porter sur cette femme un jugement de valeur extrêmement négatif selon lequel elle se donnerait aux hommes pour des raisons purement financières ou afin de satisfaire ses pulsions sexuelles sans égard aux commandements que la morale impose (ATF 92 IV 117 consid. 2, dans lequel le Tribunal fédéral a retenu que le mari auquel on reproche d'avoir pour femme une putain est lésé et a qualité pour porter plainte contre l'auteur). Selon la jurisprudence du Tribunal fédéral, traiter une femme de "pétasse" ou de "salope" est également une marque de mépris constitutive d'injure au sens de l'art. 177 CP (arrêts du Tribunal fédéral 6S.634/2001 du 20 décembre 2001 consid. 2 et 6B_87/2013 du 13 mai 2013 consid. 4.2).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4</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Un coup de poing doit être qualifié de voie de fait pour autant qu'il n'entraîne aucune lésion du corps humain ou de la santé (ATF 119 IV 25 précité consid. 2a). En présence d'une atteinte à l'intégrité corporelle limitée à des contusions, des meurtrissures ou des griffures, il faut tenir compte de l'importance de la douleur provoquée afin de déterminer s'il s'agit de lésions corporelles simples ou de voies de fait (ATF 119 IV 25 précité consid. 2a).</w:t>
      </w:r>
    </w:p>
    <w:p>
      <w:r>
        <w:rPr>
          <w:b/>
        </w:rPr>
        <w:t>E. 5</w:t>
      </w:r>
    </w:p>
    <w:p>
      <w:r>
        <w:t>En l'espèce, il est avéré que l'appelant a insulté son épouse le 8 juillet 2012. Selon les déclarations de l'intimée, constantes sur ce point, il l'avait notamment traitée de "pute" et de "traînée". L'appelant admet par ailleurs que son épouse et lui s'étaient mutuellement insultés et qu'il l'avait qualifiée de "pauvre fille", voire de "pute" et de "traînée", sans s'en souvenir avec précision. Partant, la condamnation pour injures doit être confirmée, les termes utilisés revêtant manifestement le caractère injurieux sanctionné par l'art. 177 CP et l'auteur étant à tout le moins conscient du caractère attentatoire à l'honneur de ses propos. Cela étant, la CPAR ne peut exclure que des insultes aient été proférées par les deux parties le soir des faits, comme l'a retenu le premier juge et comme le soutient l'appelant, étant rappelé que l'intimée a admis avoir notamment traité son époux de "pauvre type" et de "malade". La portée de cette constatation sera examinée dans le cadre de la fixation de la peine ( cf . ci-dessous). Le dossier ne permet en revanche pas d'établir que les voies de fait dont se plaint l'intimée ont été réalisées. Les déclarations des parties s'opposent. Selon l'appelant, l'intimée avait essayé de lui donner des coups de poing qu'il avait pu éviter en lui prenant les mains, sans que lui-même ne lève la main sur elle en retour. L'intimée, quant à elle, soutient avoir reçu des frappes sur la tête et un coup de pied au genou. Toutefois, ses déclarations ont constamment varié au cours de la procédure. Devant la police, elle soutenait que les coups avaient été portés devant les enfants. Entendue par le Ministère public, elle concédait que les enfants n'avaient en réalité pas assisté aux actes de violence physique. Elle précisait en outre que l'appelant l'avait enfermée dans une chambre et la poussait pour l'empêcher d'en sortir, de sorte qu'elle avait dû le pousser en retour pour sortir, sans lui donner de coups de poing. Devant le premier juge, sa version a encore évolué : lorsqu'elle avait été "enfermée" dans la chambre de son fils, la porte n'était en réalité pas fermée à clé mais elle s'était sentie enfermée parce que son époux se tenait "devant la porte". Elle l'avait poussé pour sortir, étant précisé qu'il ne l'avait pas empêchée de quitter la pièce. Il ressort de ce qui précède que la version présentée par l'intimée n'a cessé de varier et que la gravité des faits reprochés à l'appelant s'en est trouvée fortement amoindrie. Les déclarations de l'intimée n'emportent donc pas conviction, sans que sa bonne foi ne soit remise en cause pour autant. En application du principe in dubio pro reo , la CPAR ne peut exclure que les évènements se soient produits de la façon décrite par l'appelant – à savoir que ce dernier n'a pas levé la main sur elle – ni que, lors de la vive altercation entre les parties, l'intimée ait essayé de frapper son époux avec ses poings, ce dernier s'étant défendu contre elle ou encore qu'elle se soit fait mal en repoussant son époux pour quitter la pièce alors que ce dernier, selon les propres déclarations de l'intimée, ne l'empêchait pas d'en sortir. Cette appréciation est renforcée par la très forte composante civile que comporte le présent litige en raison de la séparation très difficile et conflictuelle des époux A______ et C______. En effet, les déclarations de l'intimée, consignées dans le procès-verbal de sa plainte, ont permis l'obtention partielle de mesures superprovisionnelles qui avaient été précédemment refusées par le Tribunal de première instance, et un transfert de la garde des enfants, initialement attribuée au père, ce qui est peu usuel, en faveur de la mère, en raison du fait que les évènements litigieux se seraient déroulés en présence des enfants. En outre, le litige entre les parties concernant la garde de leurs enfants était à ce point présent dans l'esprit de l'intimée qu'elle a d'emblée, devant la police, fait état du litige civil et du fait "qu'aucune décision n'avait été prise", le Service de protection des mineurs n'ayant pas établi le rapport qui lui avait été demandé. Le constat médical du Dr F______ n'est pas de nature à emporter la conviction de la CPAR. Ce dernier n'a constaté aucune trace visible telle qu'hématome, rougeur ou dermabrasion. Il s'est pour l'essentiel fondé sur les déclarations de sa patiente, en essayant d'objectiver les douleurs par la cohérence du tableau, à savoir une méthode qui fonctionne "de manière générale" et qui ne permet en aucun cas d'exclure une simulation des douleurs. Sans doute à raison, le Dr F______ a renoncé à effectuer des examens plus approfondis au vu de la faible gravité du cas. Compte tenu de l'ensemble des circonstances du cas d'espèce, il y a lieu de retenir que le constat médical du 8 juillet 2012 n'accroît pas la valeur probante des déclarations de l'intimée, puisqu'il se borne pour l'essentiel à reproduire ses déclarations, ce qui ne saurait suffire pour établir la culpabilité de l'appelant. Ainsi et au vu des nombreux doutes qui subsistent sur le déroulement des faits, il y a lieu d'acquitter l'appelant de l'infraction de voies de fait, en application du principe in dubio pro reo .</w:t>
      </w:r>
    </w:p>
    <w:p>
      <w:r>
        <w:rPr>
          <w:b/>
        </w:rPr>
        <w:t>E. 6</w:t>
      </w:r>
    </w:p>
    <w:p>
      <w:r>
        <w:t>6.1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l'injurié a riposté immédiatement par une injure ou par des voies de fait, le juge pourra exempter de toute peine les deux délinquants ou l'un d'eux (art. 177 al. 3 CP). Cette disposition ne constitue qu'un simple motif facultatif d'exemption de peine (ATF 109 IV 39 consid. 4a) et confère un large pouvoir d'appréciation au juge (arrêt du Tribunal fédéral 6B_517/2008 du 27 août 2008 consid. 4.2).</w:t>
      </w:r>
    </w:p>
    <w:p>
      <w:r>
        <w:rPr>
          <w:b/>
        </w:rPr>
        <w:t>E. 6.2</w:t>
      </w:r>
    </w:p>
    <w:p>
      <w:r>
        <w:t>En l'espèce, la CPAR a retenu que les époux A______ et C______ se sont mutuellement insultés lors de l'altercation du 8 juillet 2012. C'est dès lors à bon droit que le premier juge a exempté l'appelant de toute peine, conformément à l'art. 177 al. 3 CP, étant par ailleurs rappelé qu'en l'absence d'appel joint de l'intimée ou du Ministère public, le principe de l'interdiction de la reformatio in pejus s'applique (art. 391 al. 2 CPP).</w:t>
      </w:r>
    </w:p>
    <w:p>
      <w:r>
        <w:rPr>
          <w:b/>
        </w:rPr>
        <w:t>E. 7.1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 Bâle 2013, n. 6 ad art. 426 CPP).</w:t>
      </w:r>
    </w:p>
    <w:p>
      <w:r>
        <w:rPr>
          <w:b/>
        </w:rPr>
        <w:t>E. 7.2</w:t>
      </w:r>
    </w:p>
    <w:p>
      <w:r>
        <w:t>En l'espèce, l'appelant, qui obtient partiellement gain de cause et est acquitté d'une partie des faits reprochés, supportera la moitié des frais de la procédure d'appel, qui comprennent dans leur totalité un émolument de jugement de CHF 1'500.- (art. 14 al. 1 let. e RTFMP), et la moitié des frais de la procédure de première instance, le solde étant laissé à la charge de l'Etat.</w:t>
      </w:r>
    </w:p>
    <w:p>
      <w:r>
        <w:rPr>
          <w:b/>
        </w:rPr>
        <w:t>E. 8</w:t>
      </w:r>
    </w:p>
    <w:p>
      <w:r>
        <w:t>8.1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 elle peut trouver application en matière de contravention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(ATF 138 IV 197 consid. 2.3.5). Dans les cas juridiquement simples, l'activité de l'avocat doit se limiter au minimum, soit tout au plus à une simple consultation (ATF 138 IV 197 précité consid. 2.3.5). Les démarches superflues, abusives ou excessives ne sont pas indemnisées (cf. ATF 115 IV 156 consid. 2d ; M. NIGGLI / M. HEER / H. WIPRÄCHTIGER, Schweizerische Strafprozessordnung – Jugendstrafprozessordnung, Basler Kommentar StPO/JStPO , 2 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CPP). En présence d'un abandon partiel de la procédure pénale, il y a lieu de déterminer la part des honoraires qui doit être attribuée à la défense du prévenu contre les infractions reprochées qui ont fait l'objet d'un acquittement (M. NIGGLI / M. HEER / H. WIPRÄCHTIGER, op. cit. , n. 17a ad art. 429 CPP). Il faut identifier quels actes d'instruction ont été rendus inutiles et les dommages qu'ils ont causés. Ainsi, en cas d'acte à « double utilité », il y a lieu de procéder à une répartition équitable (A. KUHN / Y. JEANNERET (éds), Commentaire romand : Code de procédure pénale suisse , Bâle 2011, n. 27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ACPR/279/2014 du 27 mai 2014 ; ACPR/112/2014 du 26 février 2014 ; cf. arrêts du Tribunal fédéral 2C_725/2010 du 31 octobre 2011 consid. 3 et 2C_25/2008 du 18 juin 2008 consid. 3, en matière d'assistance juridique, faisant référence aux tarifs usuels d'un conseil de choix à Genève). L'autorité pénale compétente pour liquider l'indemnisation est celle qui a prononcé l'abandon de la poursuite pénale (A. KUHN / Y. JEANNERET (éds), op. cit. , n. 51 ad art. 429 CPP ; G. PIQUEREZ / A. MACALUSO, Procédure pénale suisse , 3 e éd. Genève 2011, n. 2286 p. 729).</w:t>
      </w:r>
    </w:p>
    <w:p>
      <w:r>
        <w:rPr>
          <w:b/>
        </w:rPr>
        <w:t>E. 8.2</w:t>
      </w:r>
    </w:p>
    <w:p>
      <w:r>
        <w:t>En l'espèce, l'appelant a droit à une indemnité pour les frais de défense occasionnés par la présente procédure pénale, au vu de l'issue de cette dernière. Il sollicite une indemnité de CHF 16'066.30, dont CHF 1'067.20 de débours (soit CHF 464.20 + CHF 160.- + CHF 135.- + CHF 308.-). Il ressort des notes de frais et honoraires produites que le temps consacré à sa défense se décompose comme suit : -          Conférences, correspondance et entretiens téléphoniques : 13 h 15, soit 1 h 00 d'associé, 7 h 15 de collaborateur et 5 h 00 de stagiaire. ![endif]&gt;![if&gt; -          Etude du dossier et recherches juridiques : 10 h 00, soit 1 h 00 d'associé, 5 h 00 de collaborateur et 4 h 00 de stagiaire. ![endif]&gt;![if&gt; -          Audiences et préparation d'audiences au Ministère public : 4 h 30 de stagiaire.![endif]&gt;![if&gt; -          Audiences et préparation d'audiences au Tribunal de police : 9 h 30, soit 6 h 30 de collaborateur et 3 h 00 de stagiaire. ![endif]&gt;![if&gt; -          Rédaction de déterminations, préparation d'audience et audience d'appel : 9 h 00 de collaborateur.![endif]&gt;![if&gt; -          Soit au total : 46 h 15 d'activité d'associé à CHF 450.-/h, collaborateur à CHF 350.-/h et stagiaire à CHF 200.-/h. ![endif]&gt;![if&gt; Ces durées sont manifestement excessives s'agissant d'une procédure portant sur une contravention et une infraction d'importance mineure. Il est certain que la procédure a eu un impact considérable et légitime sur la vie personnelle de l'appelant. Toutefois, la procédure n'a pas été particulièrement longue et n'a nécessité que quatre audiences pour un total de 5 heures 50 minutes, soit 40 minutes devant la police, 1 heure 50 minutes devant le Ministère public, 2 heures 30 minutes devant le Tribunal de police et 50 minutes devant la CPAR. Enfin et surtout, le cas ne présentait aucune complexité, tant sous l'angle des faits que du droit ; il s'agissait d'une affaire juridiquement simple, pour laquelle le Conseil de l'appelant se devait de limiter son activité au minimum, en application de la jurisprudence citée. Au vu de ce qui précède, le temps consacré sera réduit comme suit : -          7 h 15 pour le poste entretiens et correspondance, soit 1 h 00 d'associé, 3 h 15 de collaborateur et 3 h 00 de stagiaire.![endif]&gt;![if&gt; -          3 h 00 d'étude du dossier et de recherches juridiques, soit 1 h 00 d'associé, 1 h 00 de collaborateur et 1 h 00 de stagiaire. ![endif]&gt;![if&gt; -          5 h 30 de préparation d'audience et d'audience devant le Tribunal de police, soit 2 h 30 de collaborateur et 3 h 00 de stagiaire. ![endif]&gt;![if&gt; -          4 h 00 d'activité de collaborateur pour la préparation d'audience et l'audience devant la CPAR. ![endif]&gt;![if&gt; Partant, la CPAR retiendra que le nombre d'heures attribuées à la défense de l'appelant, pour la totalité de la procédure, s'élève à 24 h 15, soit 2 heures d'associé à CHF 450.-, 11 heures et 15 minutes d'activité de collaborateur à CHF 350.- et 11 heures d'activité de stagiaire à CHF 200.-. L'indemnité sollicitée est ainsi réduite quant à sa quotité à CHF 8'753.10, TVA et débours en CHF 1'067.20 compris. Reste à tenir compte de l'issue de la procédure. L'appelant a été acquitté d'une infraction (qui plus est, une contravention) sur les deux qui lui étaient initialement reprochées, l'instruction ayant porté, en substance, sur le même complexe de faits, à savoir l'altercation du 8 juillet 2012. Partant, ses prétentions seront indemnisées pour moitié, soit à hauteur de CHF 4'376.55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