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P/1345/2013 vom 22. Oktober 2015</w:t>
      </w:r>
    </w:p>
    <w:p>
      <w:r>
        <w:t>GE Cour de justice, 2015-10-22, FR</w:t>
      </w:r>
    </w:p>
    <w:p>
      <w:r>
        <w:rPr>
          <w:b/>
        </w:rPr>
        <w:t xml:space="preserve">Quelle: </w:t>
      </w:r>
      <w:r>
        <w:t>https://mcp.opencaselaw.ch/entscheid/ge_gerichte_P_1345_2013</w:t>
      </w:r>
    </w:p>
    <w:p>
      <w:r>
        <w:t>FR: GE_GERICHTE P/1345/2013 du 22 octobre 2015</w:t>
      </w:r>
    </w:p>
    <w:p>
      <w:r>
        <w:t>IT: GE_GERICHTE P/1345/2013 del 22 ottobre 2015</w:t>
      </w:r>
    </w:p>
    <w:p>
      <w:pPr>
        <w:pStyle w:val="Heading2"/>
      </w:pPr>
      <w:r>
        <w:t>Regeste</w:t>
      </w:r>
    </w:p>
    <w:p>
      <w:r>
        <w:t>ABUS DE CONFIANCE; FAUX MATÉRIEL DANS LES TITRES; FIXATION DE LA PEINE; REPENTIR SINCÈRE; RESPONSABILITÉ RESTREINTE(DROIT PÉNAL); SURSIS À L'EXÉCUTION DE LA PEINE; TRAITEMENT AMBULATOIRE; DÉFENSE D'OFFICE; INDEMNITÉ(EN GÉNÉRAL) | CP.138.2; CP.251.1; CP.42; CP.44.2; CP.94; CP.56; CP.63;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48 let. d CP, le juge atténue la peine si l'auteur a manifesté par des actes un repentir sincère, notamment s'il a réparé le dommage autant qu'on pouvait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2.2</w:t>
      </w:r>
    </w:p>
    <w:p>
      <w:r>
        <w:t>En l'espèce, l'appelante a certes fourni une bonne collaboration à l'enquête, en admettant d'emblée les faits. Avec le premier juge, on doit toutefois admettre que le refus de dédommager l'employeur lésé, dont elle a demandé le rejet des conclusions civiles en première instance, jette assurément de sérieux doutes sur la sincérité de son repentir. C'est donc à bon droit que cette circonstance atténuante n'a pas été prise en considération. Les paiements intervenus suite à la condamnation judiciaire, que l'appelante n'a pas remise en cause sur le plan civil, participent d'une certaine prise de conscience et d'une évolution favorable, dont il sera tenu compte ci-dessous, lors de l'examen du sursis. 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129 IV 6 consid. 6.1 p. 20 ; arrêt 6B_759/2011 du 19 avril 2012 consid. 1.1). 3.1.2. La peine est aussi atténuée,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59s ; arrêts du Tribunal fédéral 6B_284/2012 du 29 octobre 2012 consid. 4.1.6, 6B_77/2012 du 18 juin 2012 consid. 1.2.1 et 6B_741/2010 du 9 novembre 2010 consid. 3.1.2). 3.1.3. A teneur de l'art. 49 al. 1 CP, si, en raison d'un ou de plusieurs actes, l'auteur remplit les conditions de plusieurs peines de même genre, le juge le condamne à la peine de l'infraction la plus grave et l'augmente dans une juste proportion. 3.2. En l'espèce, l'appelante s'est rendue coupable d'abus de confiance (art. 138 CP), et de faux dans les titres (art. 251 CP), infractions qui entrent en concours et qui sont toutes deux passibles d'une peine privative de liberté de cinq ans au plus. Elle a détourné des sommes très importantes, se montant à plus de CHF 1.3 million, agissant sur une très longue période, de plus de cinq ans, et de manière sophistiquée, afin de masquer ses opérations. Seule la découverte par son employeur, suite à des absences et à un comportement inhabituel, a permis de stopper cette intense activité délictuelle. La collaboration à la procédure a été qualifiée à juste titre de bonne. L'appelante est en outre au bénéfice d'une responsabilité moyennement restreinte au moment des faits, ce qui permet de qualifier la faute de moyenne en lieu et place de grave, et a contribué à réparer le préjudice qu'elle a causé. Compte tenu de l'ensemble de ces éléments, la peine privative de liberté de 15 mois fixée par le premier juge est adéquate et tient compte de l'ensemble des éléments qui précèdent. Elle sera ainsi confirmée, l'appel étant rejeté sur ce point.</w:t>
      </w:r>
    </w:p>
    <w:p>
      <w:r>
        <w:rPr>
          <w:b/>
        </w:rPr>
        <w:t>E. 4</w:t>
      </w:r>
    </w:p>
    <w:p>
      <w:r>
        <w:t>4.1.1.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4.1.2. Selon la jurisprudence, sursis et mesures sont incompatibles (ATF 135 IV 180 consid. 2.3 ; 134 IV 1 consid. 3.1). Si les conditions d'application de l'une ou l'autre des mesures prévues aux art. 56 ss CP sont remplies, le pronostic déterminant pour l'octroi du sursis est nécessairement négatif, puisque le prononcé de ces mesures suppose un risque de récidive (cf. art. 56 al. 1 let. a CP ; arrêt du Tribunal fédéral 6B_268/2008 du 2 mars 2009). 4.1.3.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 4.1.4. Pour la durée du délai d'épreuve, le juge peut ordonner une assistance de probation et imposer des règles de conduite (art. 44 al. 2 CP). Les règles de conduite sont celles énumérées de façon non exhaustive à l'art. 94 CP. La loi prévoit expressément que la règle de conduite peut porter sur des soins médicaux ou psychiques (cf.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Elle n'exige notamment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w:t>
      </w:r>
    </w:p>
    <w:p>
      <w:r>
        <w:rPr>
          <w:b/>
        </w:rPr>
        <w:t>E. 4.2</w:t>
      </w:r>
    </w:p>
    <w:p>
      <w:r>
        <w:t>L'expert a en l'occurrence qualifié le risque de récidive d'élevé et préconisé le prononcé d'un traitement ambulatoire, ce qui exclut en principe l'octroi du sursis. Il ressort toutefois des explications fournies au Ministère public, que par récidive, le docteur J______ entendait tout particulièrement le risque général pour l'appelante de retomber dans un comportement addictif, étant rappelé qu'elle avait, selon la doctoresse L______, exprimé précédemment sa personnalité addictive dans les domaines du sport, du tabac ou de la nourriture. Or, de tels comportements ne sont pas associés à des agissements criminels, contrairement au jeu pathologique. Dans l'examen du pronostic, il faut aussi tenir compte de l'âge de l'appelante, qui a mené une vie sans tache, jusqu'aux événements à l'origine de cette procédure. Retraitée, elle n'exercera plus d'activité professionnelle. Le risque qu'elle détourne des fonds au préjudice d'un nouvel employeur est ainsi concrètement inexistant. L'appelante bénéficie en outre du soutien de sa famille et de ses amis et les faits à l'origine de la présente affaire, bien que très graves, semblent constituer, pour une femme âgée de 65 ans sans antécédents, intégrée dans la société et ne présentant aucun trait antisocial, davantage un épisode isolé. Elle est suivie par une psychiatre, qu'elle consulte régulièrement et avec laquelle elle a pu nouer un lien thérapeutique, ce qui est de bon augure pour consolider les résultats. Enfin, au stade de l'appel, A______ ne remet plus en cause sa responsabilité civile, ce qui atteste également d'une évolution positive dans la prise de conscience. Pour ces motifs, bien qu'en restant incertain, le pronostic n'est pas concrètement défavorable. Il convient partant de mettre l'appelante au bénéfice du sursis, pour le prononcé duquel le risque de récidive n'a pas à être inexistant, dans la mesure où il peut encore être atténué par la mise en place de règles de conduite et d'une assistance de probation durant le délai d'épreuve. Même si la CPAR n'est pas persuadée que le prononcé d'un traitement ambulatoire au sens de l'art. 63 CP, contrairement aux mesures institutionnelles, est systématiquement incompatible avec la mesure du sursis, la question peut être laissée ouverte en l'espèce, dès lors qu'en tout état de cause, du point de vue légal, un tel traitement n'est en l'occurrence pas nécessaire, vu le risque de récidive contenu. L'appelante doit cependant être aidée à éradiquer la problématique addictive, même si inactive selon le docteur M______. Aussi, un suivi psychothérapeutique, visant tout particulièrement à traiter le trouble addictif au jeu, et les causes de cette addiction, sera ordonné, sous forme de règle de conduite, durant le délai d'épreuve du sursis. Ce traitement pourra être poursuivi auprès de la doctoresse L______ et la fréquence des entretiens sera laissée à l'appréciation de la thérapeute, laquelle sera toutefois tenue de traiter la problématique de l'addiction, en sus de celle de la dépression. Le délai d'épreuve sera fixé à trois ans, durée qui apparaît justifiée et suffisante, au vu du faible risque de récidive. Une assistance de probation sera instituée, obligation étant faite au thérapeute d'adresser tous les trois mois au Service de probation et d'insertion (SPI) un rapport relatif au suivi et à l'évolution de l'appelante sur les plans personnel et psychiatrique.</w:t>
      </w:r>
    </w:p>
    <w:p>
      <w:r>
        <w:rPr>
          <w:b/>
        </w:rPr>
        <w:t>E. 5</w:t>
      </w:r>
    </w:p>
    <w:p>
      <w:r>
        <w:t>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5.1.5.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5.1.6. Selon l'art. 17 RAJ, l'état de frais doit détailler, par rubriques, les activités donnant lieu à indemnisation, avec indication du temps consacré, et les justificatifs doivent être joints. 5.2.1. En tant qu'il se plaint, sur recours, de la taxation de ses honoraires par le premier juge, il sera relevé que, dans son état de frais du 5 décembre 2014, Me B______ avait réclamé une indemnité de CHF 24'012.- (forfait pour l'activité diverse à 20% inclus), au titre de la défense d'office. Le tribunal de première instance a arrêté cette indemnité à CHF 21'306.78, admettant 39h30 d'activité de chef d'étude à CHF 200.- (CHF 7'900.-), 79h30 pour celle de collaborateur à CHF 125.- (CHF 9'937.50) et 1h30 pour celle du stagiaire à CHF 65.- (CHF 97.50), soit un total de CHF 17'935.-, auxquels il a ajouté CHF 1'793.50 de forfait pour l'activité diverse (10%) et CHF 1'578.28 de TVA à 8%. Il a, dans son calcul, retranché 2h00 du poste "lectures pv, etc.", considérant qu'il s'agissait de prestations comprises dans le forfait pour l'activité diverse, 5h30 consacrées à la rédaction du mémoire-réponse aux conclusions civiles et 3h15 en relation avec la durée des audiences. Au stade de l'appel, Me B______ conclut au paiement d'une indemnité de défenseur d'office de CHF 23'006.78, inférieure à celle réclamée en première instance, sans fournir de calcul précis. Saisie d'un recours sur le montant de la taxation fixée en première instance, la CPAR n'examine que les points de la décision qui sont attaqués (cf. art. 385 al. 1 CPP). En l'occurrence, il ressort de l'acte de recours que le seul grief soulevé et étayé par le défenseur d'office a trait à la réduction opérée par le premier juge en relation avec la rédaction d'un mémoire-réponse en date des 1 er et 2 décembre 2014, ayant nécessité selon l'état de frais du 5 décembre 2014, 5h30 d'activité de chef d'étude (et non pas 8h30), soit 3h00 le 1 er décembre et 2h30 le 2 décembre 2014. Avec le Tribunal de police, il convient de retenir que la procédure de première instance est orale et qu'il n'y a pas lieu d'accompagner les plaidoiries d'écritures. Si le CPP prévoit effectivement que la partie plaignante peut motiver "brièvement" ses conclusions par écrit (art. 123 al. 1 CPP dans la version allemande), rien de tel n'est prévu pour le prévenu, qui s'exprimera à cet égard lors des débats (art. 124 al. 2 CPP). Le dépôt d'un mémoire écrit en réponse aux conclusions civiles déposées par la partie plaignante n'était en l'occurrence pas nécessaire à la bonne conduite de la procédure et représente une démarche superflue que l'Etat n'a pas à indemniser. Cette solution est d'autant plus fondée que la prévenue avait admis les faits et le montant du préjudice causé à la partie plaignante et qu'elle se bornait à contester sa part de responsabilité, compte tenu d'une éventuelle faute concomitante de la partie lésée. Aussi, la complexité de la situation n'était pas telle qu'elle rendait le dépôt d'une écriture indispensable. La décision d'indemnisation du premier juge doit ainsi être confirmée et le recours de Me B______ rejeté. 5.2.2. Pour la procédure d'appel, le défenseur d'office a facturé 37h45 d'activité de chef d'étude, dont 19h00 pour l'étude du dossier et les recherches juridiques et 10h00 pour la préparation de l'audience, ainsi que 30 minutes de vacation au greffe de la Cour. En l'occurrence, les 29h00 consacrées aux recherches juridiques et à l'étude du dossier, d'une part, et à la préparation de l'audience d'appel, d'autre part, sont excessives, le dossier étant le même qu'en première instance et l'appel ne portant que sur la peine et la mesure, ce qui n'exige pas de recherches approfondies de la part d'un chef d'étude expérimenté. Seules 15 heures seront admises pour ces deux postes (réduction de 14h00). Quant à la vacation par un chef d'étude en vue de déposer une écriture (0h30), elle n'a pas à être indemnisée au titre de la défense d'office, cette démarche pouvant être accomplie en déposant le pli à la poste, en même temps que le courrier de l'étude, et est en tout état comprise dans le forfait pour l'activité diverse. Pour le surplus, la note d'honoraires de Me B______ est adéquate et conforme aux principes qui précèdent. Sur un total de 37h45, la CPAR en admettra 23h15 (réduction de 14h30), correspondant à CHF 4'650.-, soit CHF 5'524.20 (forfait de 10% et TVA inclus).</w:t>
      </w:r>
    </w:p>
    <w:p>
      <w:r>
        <w:rPr>
          <w:b/>
        </w:rPr>
        <w:t>E. 6</w:t>
      </w:r>
    </w:p>
    <w:p>
      <w:r>
        <w:t>L'appel ayant été admis pour l'essentiel, l'appelante sera condamnée au quart des frais de la procédure, comprenant un émolument de CHF 2'000.-,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