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P/13445/2018 vom 28. Februar 2019</w:t>
      </w:r>
    </w:p>
    <w:p>
      <w:r>
        <w:t>GE Cour de justice, 2019-02-28, FR</w:t>
      </w:r>
    </w:p>
    <w:p>
      <w:r>
        <w:rPr>
          <w:b/>
        </w:rPr>
        <w:t xml:space="preserve">Quelle: </w:t>
      </w:r>
      <w:r>
        <w:t>https://mcp.opencaselaw.ch/entscheid/ge_gerichte_P_13445_2018</w:t>
      </w:r>
    </w:p>
    <w:p>
      <w:r>
        <w:t>FR: GE_GERICHTE P/13445/2018 du 28 février 2019</w:t>
      </w:r>
    </w:p>
    <w:p>
      <w:r>
        <w:t>IT: GE_GERICHTE P/13445/2018 del 28 febbraio 2019</w:t>
      </w:r>
    </w:p>
    <w:p>
      <w:pPr>
        <w:pStyle w:val="Heading2"/>
      </w:pPr>
      <w:r>
        <w:t>Regeste</w:t>
      </w:r>
    </w:p>
    <w:p>
      <w:r>
        <w:t>RÉVISION(DÉCISION) ; MOTIF DE RÉVISION ; EXPULSION(DROIT PÉNAL) ; NOUVEAU MOYEN DE FAIT | CPP.411; CPP.410; CPP.412; CPP.358; CPP.362.al5</w:t>
      </w:r>
    </w:p>
    <w:p>
      <w:pPr>
        <w:pStyle w:val="Heading2"/>
      </w:pPr>
      <w:r>
        <w:t>Erwägungen</w:t>
      </w:r>
    </w:p>
    <w:p>
      <w:r>
        <w:rPr>
          <w:b/>
        </w:rPr>
        <w:t>E. 1.1</w:t>
      </w:r>
    </w:p>
    <w:p>
      <w:r>
        <w:t>La CPAR est l'autorité compétente en matière de révision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du jugement du Tribunal de police du 19 septembre 2018, formée le 13 janvier 2019,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 du Tribunal fédéral 6B_36/2014 précité). 2.1.2.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 des mesures provisoires, pour autant que cette décision n'incombe pas à la direction de la procédure en vertu de l'art. 388 CPP (al. 4). 2.1.3.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Petit commentaire du CPP , Helbing Lichtenhahn éd., Bâle 2013, note 1 ad art. 413 CPP et références citées). 2.2.1. Jusqu'à la mise en accusation, le prévenu qui a reconnu les faits déterminants pour l'appréciation juridique ainsi que, au moins dans leur principe, les prétentions civiles peut demander l'exécution d'une procédure simplifiée au ministère public (358 al. 1 CPP). La procédure simplifiée est exclue lorsque le ministère public requiert une peine privative de liberté supérieure à cinq ans (358 al. 2 CPP). Le ministère public statue sur l'ouverture de la procédure simplifiée (cf. art. 359 al. 1 CPP) et en informe les parties (cf. art. 359 al. 2 CPP). Il dresse ensuite l'acte d'accusation, qui doit contenir les éléments énumérés à l'art. 360 al. 1 let. a à h CPP, qu'il notifie aux parties. Celles-ci doivent déclarer, dans un délai de dix jours, si elles l'acceptent ou si elles le rejettent (cf. art. 360 al. 2 CPP). Si les parties l'acceptent, le ministère public le transmet avec le dossier au tribunal de première instance (cf. art. 360 al. 4 CPP). Si une partie rejette l'acte d'accusation, le ministère public engage une procédure préliminaire ordinaire (art. 360 al. 5 CPP). Dans le cas d'une acceptation par toutes les parties, le tribunal de première instance tient des débats conformément à l'art. 361 CPP. Il examine ensuite si les conditions permettant de rendre le jugement selon la procédure simplifiée sont réunies ou non, conformément à l'art. 361 al. 1 et 2 CPP. Si tel n'est pas le cas, le tribunal transmet le dossier au ministère public pour qu'il engage une procédure préliminaire ordinaire (cf. art. 362 al. 3 CPP). 2.2.2. L'art. 362 al. 5 CPP prévoit que la partie qui appelle d'un jugement sur procédure simplifiée "peut faire valoir uniquement qu'elle n'accepte pas l'acte d'accusation ou que le jugement ne correspond pas à l'acte d'accusation". Cette limitation se justifie par le caractère sommaire de la procédure simplifiée (A. KUHN / Y. JEANNERET [éds], Commentaire romand : Code de procédure pénale suisse , Bâle 2011, n. 14 ad art. 362). Selon le Message du Conseil fédéral, toute révision ultérieure du jugement est exclue, le prévenu ne pouvant pas faire valoir après coup un moyen de preuve qui semble le disculper (Message relatif à l'unification du droit de la procédure pénale (CPP) du 21 décembre 2005, FF 2006 p. 1281). Si la révision n'est ainsi en principe pas possible eu égard aux caractéristiques de la procédure simplifiée, la doctrine l'admet dans l'hypothèse où celle-ci a pour effet d'aboutir à un jugement entaché d'une erreur de fait (A. KUHN / Y. JEANNERET [éds], op. cit., n. 17 et 18 ad art. 362 ; L. MOREILLON / A. PAREIN-REYMOND, Petit commentaire du CPP , Helbing Lichtenhahn éd., Bâle 2013, n. 39 ad art. 362) . Dès que la culpabilité ou l'innocence quant aux faits dont le condamné s'est accusé est en jeu, la voie de la révision doit rester ouverte (A. KUHN / Y. JEANNERET [éds], op. cit ., n. 17 et 18 ad art. 362), à l'exclusion toutefois des hypothèses dans lesquelles la révision porterait sur des éléments relatifs à la quotité de la peine (Y. JEANNERET, " Les procédures spéciales dans le Code de procédure pénale suisse ", in R. PFISTER-LIECHTI [éd.], La procédure pénale fédérale , Fondation pour la formation continue des juges suisses, Berne 2010, p. 184-185). Une partie de la doctrine est plus restrictive, qui estime que la révision n'est possible que lorsqu'il est établi que le résultat de la procédure a été influencé par une infraction (N. SCHMID, Schweizerische Strafprozessordnung : Praxiskommentar , 2e éd., Zurich 2013, n. 15-16 ad art. 362). Selon le Tribunal fédéral la révision d'un jugement rendu dans le cadre d'une procédure simplifiée, fondée sur le motif de la contradiction flagrante avec une décision pénale rendue postérieurement au sens de l'art. 410 al. 1 let. b CPP, n'est pas admissible (ATF 144 IV 121 consid. 1.1-1.6).</w:t>
      </w:r>
    </w:p>
    <w:p>
      <w:r>
        <w:rPr>
          <w:b/>
        </w:rPr>
        <w:t>E. 2.3</w:t>
      </w:r>
    </w:p>
    <w:p>
      <w:r>
        <w:t>Le demandeur en révision n'invoque nullement que son accord à la procédure simplifiée, comportant au titre de réquisition du Ministère public le prononcé d'une expulsion judiciaire pour 20 ans, aurait été vicié. Il se borne à soutenir que ses deux enfants auraient besoin de lui et qu'il poursuit son traitement contre sa toxicomanie de longue date avec le ferme espoir de s'en sortir. Ces deux éléments ne constituent en rien des faits nouveaux qui lui ouvriraient la voie de la révision, que ce soit en procédure ordinaire et a fortiori en procédure simplifiée, sa culpabilité n'étant en particulier nullement remise en cause. Sa demande doit donc être rejetée.</w:t>
      </w:r>
    </w:p>
    <w:p>
      <w:r>
        <w:rPr>
          <w:b/>
        </w:rPr>
        <w:t>E. 3.1</w:t>
      </w:r>
    </w:p>
    <w:p>
      <w:r>
        <w:t>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(ATF 129 I 129 consid. 2.2.2 p. 134 s. ; arrêts du Tribunal fédéral 6B_79/2017 du 22 mars 2017 consid. 2.2 ; 6B_616/2016 du 27 février 2017 consid. 4.3 et les références).</w:t>
      </w:r>
    </w:p>
    <w:p>
      <w:r>
        <w:rPr>
          <w:b/>
        </w:rPr>
        <w:t>E. 3.2</w:t>
      </w:r>
    </w:p>
    <w:p>
      <w:r>
        <w:t>Vu l'issue clairement et d'emblée défavorable d'une demande de révision dans le cas d'espèce, comme le conseil nommé d'office pour le demandeur dans la procédure au fond l'a justement fait remarquer par courrier du 28 janvier 2019, la CPAR, bien que non formellement requise, a refusé de lui nommer un avocat d'office pour les besoins de cette cause.</w:t>
      </w:r>
    </w:p>
    <w:p>
      <w:r>
        <w:rPr>
          <w:b/>
        </w:rPr>
        <w:t>E. 4</w:t>
      </w:r>
    </w:p>
    <w:p>
      <w:r>
        <w:t>Le demandeur en révision succombant, les frais de la procédure, comprenant un émolument de CHF 1'000.-, seront mis à sa charge (art. 428 CPP et 14 al. 1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