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P/13434/2012 vom 10. Dezember 2013</w:t>
      </w:r>
    </w:p>
    <w:p>
      <w:r>
        <w:t>GE Cour de justice, 2013-12-10, FR</w:t>
      </w:r>
    </w:p>
    <w:p>
      <w:r>
        <w:rPr>
          <w:b/>
        </w:rPr>
        <w:t xml:space="preserve">Quelle: </w:t>
      </w:r>
      <w:r>
        <w:t>https://mcp.opencaselaw.ch/entscheid/ge_gerichte_P_13434_2012</w:t>
      </w:r>
    </w:p>
    <w:p>
      <w:r>
        <w:t>FR: GE_GERICHTE P/13434/2012 du 10 décembre 2013</w:t>
      </w:r>
    </w:p>
    <w:p>
      <w:r>
        <w:t>IT: GE_GERICHTE P/13434/2012 del 10 dicembre 2013</w:t>
      </w:r>
    </w:p>
    <w:p>
      <w:pPr>
        <w:pStyle w:val="Heading2"/>
      </w:pPr>
      <w:r>
        <w:t>Regeste</w:t>
      </w:r>
    </w:p>
    <w:p>
      <w:r>
        <w:t>RECEL; DISPOSITIONS PÉNALES DE LA LETR | CP.160; LEtr.115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Se rend coupable de recel, celui qui acquiert, reçoit en don ou en gage, dissimule ou aide à négocier une chose dont il sait ou doit présumer qu'un tiers l'a obtenue au moyen d'une infraction contre le patrimoine (art. 160 ch. 1 al. 1 CP). Le recel est punissable parce qu'il a pour effet de perpétuer, au préjudice de la victime du premier délit, l'état de chose contraire au droit que cette infraction a créé (ATF 127 IV 79 consid. 2b p. 83).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Sur le plan subjectif, l’infraction de recel est intentionnelle et le dol éventuel suffit. La formulation " dont il savait ou devait présumer " vise tant le dol direct que le dol éventuel. Il suffit donc que l'auteur sache ou doive présumer, respectivement qu'il accepte l'éventualité que la chose provienne d'une infraction contre le patrimoine (arrêt du Tribunal fédéral 6B_795/2007 du 4 mars 2008 consid. 3.1 ; B. CORBOZ, Les infractions en droit suisse , vol. I, 3 e éd. 2010, art. 160 CP, n. 48). Dans ces circonstances, il n’est pas nécessaire que l’auteur connaisse la nature exacte de l’infraction contre le patrimoine, ni les circonstances dans lesquelles elle s’est déroulée (ATF 119 IV 242 consid. 2b p. 247). Déterminer ce qu’une personne a su, envisagé, voulu ou accepté relève des constatations de faits. Est en revanche une question de droit, celle de savoir si, en cas d’absence d’aveux, les éléments extérieurs sont révélateurs du contenu de la volonté (ATF 125 IV 242 consid. 3c p. 252 ; arrêt du Tribunal fédéral 6B_795/2007 du 4 mars 2008 consid. 3.1.). Il en va ainsi lorsque les circonstances suggèrent le soupçon de la provenance délictueuse (ATF 129 IV 230 consid. 5.3.2 p. 236 s. et les références à ATF 119 IV 242 consid. 2b, p. 247, 101 IV 402 consid. 2 p. 405).</w:t>
      </w:r>
    </w:p>
    <w:p>
      <w:r>
        <w:rPr>
          <w:b/>
        </w:rPr>
        <w:t>E. 2.2.1</w:t>
      </w:r>
    </w:p>
    <w:p>
      <w:r>
        <w:t>Il y a dol éventuel lorsque l'auteur, qui ne veut pas le résultat dommageable pour lui-même,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2e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2.2.2</w:t>
      </w:r>
    </w:p>
    <w:p>
      <w:r>
        <w:t>À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2.3.1 En l'espèce, l'appelante s'est, au mieux, accommodée de l'incertitude qu'était la sienne quant à la provenance illicite des bijoux achetés par A______ et a pleinement accepté de dissimuler le fruit des vols de son compagnon au sein de leur domicile commun. Il importe peu que l'identité des propriétaires des objets soit inconnue et qu'aucune plainte n'ait été déposée. L'origine délictueuse des bijoux est attestée par le bris systématique de leur chaîne, indication claire de leur provenance d'un vol à l'arrachée et, partant, d'une infraction contre le patrimoine. De surcroît, devant la police et le Ministère public, elle a admis savoir que A______ avait acquis les bijoux à un prix avantageux avec l'espoir d'en tirer un bénéfice après revente, bijoux dont elle suspectait qu'ils provenaient d'un vol. Elle savait que A______ ne travaillait pas, mais qu'il était tout de même en mesure de payer le loyer de leur appartement grâce à des vols. La rétractation de ses propos tenus durant la procédure préliminaire ne peut être retenue, ces premiers aveux étant cohérents avec les éléments présents au dossier. La culpabilité de l'appelante du chef de recel sera confirmée. 2.3.2 Il n'est pas crédible que l'appelante soit entrée en Suisse au bénéfice d'un visa. Cette allégation, au demeurant nouvelle au stade de l'appel, n'est corroborée par aucun autre élément du dossier. De surcroît, l'appelante a admis être entrée illégalement en Suisse et y avoir séjourné, à tout le moins, depuis l'année 2007. Même s'il devait être admis que l'appelante avait été victime d'usure, cela ne constituerait en rien un fait justificatif de l'irrégularité de sa présence en Suisse. Elle connaissait son statut administratif précaire et n'a rien fait pour régulariser sa situation. C'est volontairement qu'elle est demeurée dans cette situation. Dès le moment où elle a été libérée du joug d'employeurs, par hypothèse, peu scrupuleux, elle n'a entrepris aucune démarche en vue de rendre son séjour licite, ce qu'elle ne conteste au demeurant pas. Pour le surplus, les circonstances entourant son interpellation ne montrent pas qu'elle préparait activement son départ du territoire helvétique. La culpabilité de l'appelante du chef d'infraction aux articles 115 al. 1 let. a, b et c LEtr sera confirmée.</w:t>
      </w:r>
    </w:p>
    <w:p>
      <w:r>
        <w:rPr>
          <w:b/>
        </w:rPr>
        <w:t>E. 3</w:t>
      </w:r>
    </w:p>
    <w:p>
      <w:r>
        <w:t>Dans la mesure où l'appelante succombe sur la question de la culpabilité, ses autres conclusions deviennent sans objet. Il suffira à ce stade de constater que la peine qui lui a été infligée correspond aux critères posés par l'art. 47 CP. L'appelante refuse de prendre conscience de sa faute et s'accommode très facilement de contribuer à l'activité délictuelle de son mari. Elle a montré un mépris des lois en vigueur en séjournant et travaillant en Suisse sans être au bénéfice d’une autorisation à cette fin, ce d’autant qu'elle n’a versé à la procédure aucun élément probant s’agissant d’éventuelles démarches en vue de son départ. Sa collaboration est inexistante; elle a successivement admis les faits, sans pour autant participer à leur élucidation, puis s'est rétractée et murée dans le déni, refusant d'admettre l'incontestable. Elle n'a pas d'antécédents, ce qui a un effet neutre sur la peine (ATF 136 IV 1 consid. 2.6). Sa situation personnelle précaire et sa maternité récente ne sauraient représenter une excuse.</w:t>
      </w:r>
    </w:p>
    <w:p>
      <w:r>
        <w:rPr>
          <w:b/>
        </w:rPr>
        <w:t>E. 4</w:t>
      </w:r>
    </w:p>
    <w:p>
      <w:r>
        <w:t>L'appelante, qui succombe, supportera les frais de la procédure envers l'État (art. 428 CPP), comprenant un émolument de CHF 1'200.-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