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P/13428/2017 vom 12. Juni 2020</w:t>
      </w:r>
    </w:p>
    <w:p>
      <w:r>
        <w:t>GE Cour de justice, 2020-06-12, FR</w:t>
      </w:r>
    </w:p>
    <w:p>
      <w:r>
        <w:rPr>
          <w:b/>
        </w:rPr>
        <w:t xml:space="preserve">Quelle: </w:t>
      </w:r>
      <w:r>
        <w:t>https://mcp.opencaselaw.ch/entscheid/ge_gerichte_P_13428_2017</w:t>
      </w:r>
    </w:p>
    <w:p>
      <w:r>
        <w:t>FR: GE_GERICHTE P/13428/2017 du 12 juin 2020</w:t>
      </w:r>
    </w:p>
    <w:p>
      <w:r>
        <w:t>IT: GE_GERICHTE P/13428/2017 del 12 giugno 2020</w:t>
      </w:r>
    </w:p>
    <w:p>
      <w:pPr>
        <w:pStyle w:val="Heading2"/>
      </w:pPr>
      <w:r>
        <w:t>Regeste</w:t>
      </w:r>
    </w:p>
    <w:p>
      <w:r>
        <w:t>PORNOGRAPHIE DURE | CP.197.al5; CP.52; CP.197.al6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rPr>
          <w:b/>
        </w:rPr>
        <w:t>E. 2.2</w:t>
      </w:r>
    </w:p>
    <w:p>
      <w:r>
        <w:t>Aux termes de l'art. 197 al. 5 CP, dans sa teneur en force depuis le 1 er juillet 2014, quiconque consomme ou, pour sa propre consommation, fabrique, importe, prend en dépôt, acquiert, obtient par voie électronique ou d'une autre manière ou possède des objets ou représentations visés à l'al. 1 [soit des écrits, enregistrements sonores ou visuels, images ou autres objets],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Le terme de mineur employé par le texte légal désigne toute personne âgée de moins de 18 ans (arrêt du Tribunal fédéral 6B_1260/2017 du 23 mai 2018, consid. 2.1, et les références citées). L'art. 197 al. 5 CP punit la consommation en tant que telle, y compris la consommation sans possession via Internet ( loc. cit. ). Au plan subjectif, l'art. 197 al. 5 CP définit une infraction de nature intentionnelle; le dol éventuel suffit. L'auteur réalise l'élément subjectif de l'infraction s'il sait ou s'il doit savoir que son comportement se rapporte à des objets ou à des représentations relevant de la pornographie dure. Il ne s'agit pas pour autant de qualifier de consommation intentionnelle tout contact avéré avec des représentations relevant de la pornographie dure. Pour la consommation via Internet notamment, le nombre d'images et de pages consultées, ainsi que la provenance des fichiers devraient être déterminants ( loc. cit. ). Conformément à l'art. 197 al. 6 CP, en cas d'infraction aux alinéas 4 et 5 les objets en cause seront confisqués.</w:t>
      </w:r>
    </w:p>
    <w:p>
      <w:r>
        <w:rPr>
          <w:b/>
        </w:rPr>
        <w:t>E. 2.3</w:t>
      </w:r>
    </w:p>
    <w:p>
      <w:r>
        <w:t>L'interdiction de la pédopornographie a pour but non seulement de protéger le développement des mineurs, mais aussi la protection des adultes contre l'effet corrupteur de ces produits et donc, indirectement, la protection des « participants » potentiels contre l'exploitation sexuelle, la violence et les traitements dégradants ou inhumains. Ne sontconsidérés comme des actes d'ordre sexuel avec des enfants au sens de l'art. 197 al. 4 [et donc 5] CP que des comportements qui ont objectivement une connotation sexuelle. Celui qui photographie un enfant dont les parties génitales sont dénudées dans une position qui, compte tenu des circonstances, est objectivement de nature à provoquer une certaine excitation sexuelle, l'induit à commettre un acte d'ordre sexuel, même si l'auteur ne ressent aucune excitation sexuelle et si l'enfant ne perçoit pas la portée sexuelle de son comportement (ATF 131 IV 64 consid. 11.2 ; arrêt du Tribunal fédéral 6S_315/2005 du 12 octobre 2005 consid. 1.1 ; M. DUPUIS / L. MOREILLON / C. PIGUET / S. BERGER / M. MAZOU / V. RODIGARI [éds], Code pénal - Petit commentaire , 2 e éd., Bâle 2017, n. 29 ad art. 197 CP).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6B_288/2017 du 19 janvier 2018, consid. 5.1et les références citées). 2.4.1. Selon l'art. 12 al. 2 CP, agit intentionnellement quiconque commet un crime ou un délit avec conscience et volonté. L'auteur agit déjà intentionnellement lorsqu'il tient pour possible la réalisation de l'infraction et l'accepte au cas où celle-ci se produirait (dol éventuel). En vertu de l'art. 12 al. 3 CP, agit par négligence quiconque, par une imprévoyance coupable, commet un crime ou un délit sans se rendre compte des conséquences de son acte ou sans en tenir compte. 2.4.2. Il y a dol éventuel lorsque l'auteur, qui ne veut pas le résultat dommageable pour lui-même, envisage le résultat de son acte comme possible et l'accepte au cas où il se produirait. Le dol éventuel peut aussi être retenu lorsque l'auteur accepte par indifférence que le danger créé se matérialise ; le dol éventuel implique ainsi l'indifférence de l'auteur quant à la réalisation de l'état de fait incriminé. Le dol éventuel ne suppose pas nécessairement que la survenance du résultat soit très probable, mais seulement possible même si cette possibilité ne se réalise que relativement rarement d'un point de vue statistique (ATF 131 IV 1 consid. 2.2 p. 4 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p. 61).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p. 62). 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 125 IV 242 consid. 3c p. 252). 2.5.1. En l'espèce, l'appelant conteste tout d'abord le caractère illégal des images, au motif d'une part de l'absence de caractère vulgaire et dégradant et d'autre part du fait qu'aucun tiers n'est intervenu dans leur fabrication. Ces arguments ne résistent toutefois pas à l'examen. D'une part, la notion de pornographie au sens de l'art. 197 al. 4 et 5 CP vise toutes les images à caractère sexuel impliquant des enfants, et non seulement les images qui seraient pornographiques si elles impliquaient des adultes. Les images et vidéos, notamment de masturbation, figurant à la procédure sont clairement des images d'actes d'ordre sexuel, commis par une mineure sur sa propre personne. Il ne fait aucun doute qu'elles sont clairement connotées sexuellement et ont d'ailleurs été créées à des fins d'excitation. Par ailleurs, l'absence d'un tiers ne rend pas caduc le caractère illégal de ces images. D'une part, il est manifeste qu'une image, fut-elle autoproduite, de masturbation d'une mineure entre dans le cadre de la pornographie illégale. D'autre part, le spectateur de ces images, même s'il n'a pas participé à leur production ni sollicité leur remise, est un tiers au moment où il les visionne. En tout état de cause, les buts de protection des mineurs et du public en général, poursuivis par l'art. 197 al. 5 CP, ne seraient pas atteints si de telles images, parvenues à des tiers, devaient être soustraites à la sanction pénale. Comme l'a relevé le premier juge, l'ensemble des images retrouvées par la police sont illégales au sens de l'art. 197 al. 5 CP dans la mesure où, sur toutes ces photos et vidéos, la jeune femme a moins de 18 ans. Le prévenu, âgé de plus de 40 ans au moment des faits, ne peut se prévaloir de la clause d'exemption de l'art. 197 al. 8 CP, relative aux mineurs âgés de plus de 16 ans. Cependant, les vidéos de relations sexuelles en cause n'étant pas visées par l'acte d'accusation, elles ne constituent pas l'objet de la présente procédure. 2.5.2. L'appelant conteste avoir intentionnellement détenu ces images. A cet égard, la CPAR constate que les déclarations de l'appelant ont évolué au fil de la procédure. Il a ainsi, initialement, librement déclaré avoir bel et bien détenu de telles images sur son ancien téléphone, volé (C-12), puis avoir proposé à la jeune fille de lui restituer les photos, avant de convenir avec elle de les détruire (C-93). Celle-ci a également déclaré, en audience, que l'appelant détenait ces images (C-122), et l'a d'ailleurs confié à son assistante sociale (B-9 et 10, C-92). Ce n'est que par la suite, lorsque la procédure s'est concentrée sur ces aspects, que le prévenu a déclaré avoir immédiatement supprimé ces images à réception, contredisant ses propres déclarations sur ce point. Ces dernières affirmations ne convainquent pas, ce d'autant plus que le rapport de la brigade de criminalité informatique établit que lesdites images ont non seulement été copiées sur d'autres supports, ce qui implique qu'elles ont été conservées quelque temps et non immédiatement supprimées, et suffit à établir une consommation et une détention au sens de l'art. 197 al. 5 CP. Il ressort d'ailleurs de ce rapport qu'elles semblent même avoir fait l'objet d'un traitement destiné à les rendre invisibles pour un utilisateur non informé de leur existence (ajout d'un « . » dans le chemin de fichier). En tout état de cause, et sans qu'il soit nécessaire de connaître le détail des modes de synchronisation et de réplication mis en oeuvre sur le matériel informatique du prévenu, et les raisons de cette configuration particulière, la CPAR tient pour établi que l'appelant a, à tout le moins, conservé et détenu pendant plusieurs mois les images pornographiques reçues de C______. En effet, il a reçu les premières images, datant de mai 2016, et les a conservées (à tout le moins sur le téléphone volé en juin 2017) en tout cas jusqu'aux discussions au sujet de leur suppression qui ont eu lieu autour de la décompensation de la précitée en mars 2017, lesquelles ont conduit à leur effacement. Il est dès lors superflu de rechercher si l'appelant a, par dol éventuel, détenu des copies de ces images sur d'autres supports ou à quelles manipulations il a procédé avec celles-ci. Au surplus, la CPAR relève que l'appelant, professeur d'informatique au CO et aujourd'hui employé dans ce domaine, possède une connaissance informatique qui rend peu crédible ses explications sur l'impossibilité de supprimer définitivement les images, preuve en étant que celles retrouvées par la police étaient bel et bien effacées. Les explications fournies par l'appelant en audience, tout comme la configuration informatique décrite, démontrent une bonne connaissance dans ce domaine. En tout état de cause, cet aspect n'est pas déterminant, la culpabilité de l'appelant étant établie par les déclarations recueillies en cours de procédure et la détention des images litigieuses à tout le moins sur son téléphone.</w:t>
      </w:r>
    </w:p>
    <w:p>
      <w:r>
        <w:rPr>
          <w:b/>
        </w:rPr>
        <w:t>E. 2.6</w:t>
      </w:r>
    </w:p>
    <w:p>
      <w:r>
        <w:t>L'appelant conclut à la restitution du disque dur saisi. Cette conclusion va en principe à l'encontre de l'art. 197 al. 6 CP. Cela étant, il ressort de l'analyse claire de la Brigade de criminalité informatique que les images illicites ne figurent pas directement sur le support en cause, mais dans des espaces non alloués, s'agissant de fichiers effacés. De plus, et surtout, le MP a, de façon peu compréhensible, délivré sans restriction des copies de ces images aux parties, les diffusant ainsi derechef et faisant de facto obstacle à leur destruction par le biais de la destruction des supports saisis. Dans ce contexte très particulier, aucun intérêt public ne commande de détruire les supports en question, dont la restitution sera ordonnée. Le jugement entrepris sera donc modifié sur ce point. Cela dit, en ce qui concerne les copies délivrées sans restriction, la CPAR ne peut en ordonner la destruction, cette mesure n'entrant pas dans le champ de sa saisine. Néanmoins, l'appelant en connaît le caractère illicite. Il lui incombe dès lors de prendre, avec son conseil, toute mesure utile pour supprimer définitivement ces objets, ainsi que la loi le postule.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L'art. 52 CP prescrit à l'autorité compétente de renoncer à la poursuite, au renvoi devant le juge ou au prononcé d'une peine si la culpabilité de l'auteur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Pour apprécier la culpabilité de l'auteur, il faut tenir compte de tous les éléments pertinents pour la fixation de la peine, notamment des circonstances personnelles de l'auteur, tels que les antécédents, la situation personnelle ou le comportement de l'auteur après l'infraction. Si les conditions indiquées à l'art. 52 CP sont réunies, l'exemption par le juge est de nature impérative (ATF 135 IV 130 consid. 5).</w:t>
      </w:r>
    </w:p>
    <w:p>
      <w:r>
        <w:rPr>
          <w:b/>
        </w:rPr>
        <w:t>E. 3.3</w:t>
      </w:r>
    </w:p>
    <w:p>
      <w:r>
        <w:t>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Lorsque les conditions - cumulatives - de l'art. 53 CP sont réunies, l'exemption par le juge est obligatoire. Si elles ne sont réalisées qu'en instance de jugement, il y a lieu de déclarer l'auteur coupable, tout en renonçant à lui infliger une peine (ATF 135 IV 27 consid. 2.3 p. 30). La possibilité offerte par l'art. 53 CP fait appel au sens des responsabilités de l'auteur en le rendant conscient du tort ( Unrecht ; torto ) qu'il a causé - la notion est plus large que celle du dommage occasionné à des tiers et englobe d'autres intérêts, publics et non matériels notamment - et elle doit contribuer à améliorer les relations entre l'auteur et le lésé et à rétablir ainsi la paix publique. Il convient cependant d'éviter de privilégier les auteurs fortunés susceptibles de monnayer leur sanction (ATF 135 IV 12 consid. 3.4.1 p. 21). L'exemption de la peine à la suite de la réparation du dommage dans la mesure que l'on peut attendre de l'intéressé, le cas échéant même symbolique, n'est possible que si les conditions du sursis sont réalisées. Il s'ensuit qu'elle n'est envisageable que dans le cadre d'une peine pécuniaire, d'un travail d'intérêt général ou une peine privative de liberté inférieure à deux ans (cf. art. 42 CP) ; au-delà des deux ans d'emprisonnement, l'intérêt public à la poursuite de l'infraction ne peut plus être considéré comme étant de peu d'importance (ATF 135 IV 12 consid. 3.4.3 p. 23 ; arrêt du Tribunal fédéral 6B_130/2016 du 21 novembre 2016 consid. 3.1). Le fait que la gravité des faits se situe dans le cadre de l'art. 53 lit. a CP ne peut cependant conduire à une exemption de peine que si l'intérêt public ou celui du lésé à la poursuite pénale sont de peu d'importance. Pour déterminer ce qu'il en est,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En cas d'infractions contre l'intérêt public, il faut en revanche aussi examiner si l'équité et le besoin de prévention générale ou spéciale appellent une sanction, même assortie du sursis (ATF 135 IV 12 consid. 3.4.3 p. 23 ; arrêt du Tribunal fédéral 6B_130/2016 du 21 novembre 2016 consid. 3.1). Dans la perspective de la prévention générale, la confiance de la collectivité peut être renforcée, lorsque l'auteur reconnaît avoir violé une norme pénale et s'efforce de rétablir la paix publique.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En d'autres termes, pour bénéficier d'un classement ou d'une exemption de peine, le prévenu doit démontrer par la réparation du dommage qu'il assume ses responsabilités et reconnaît notamment le caractère illicite ou du moins incorrect de son acte (ATF 135 IV 12 consid. 3.5.3 p. 25 ; arrêts du Tribunal fédéral 6B_130/2016 du 21 novembre 2016 consid. 3.1 et 6B_152/2007 du 13 mai 2008 consid. 5.2.3 et 5.2.4). Par ailleurs, le prononcé d'une sanction dans un cas où il est reproché à l'auteur de l'infraction d'avoir trompé une autorité se justifie aussi dans l'optique de la prévention générale ; le simple remboursement des montants touchés sans droit et l'absence de punition favoriseraient la tromperie (arrêt du Tribunal fédéral 6B_558/2009 du 26 octobre 2009 consid. 2.2, relatif à un cas où une personne avait obtenu des prestations sociales de manière indue, sur la base de fausses déclarations, et avait commencé à rembourser avant même le prononcé de sa condamnation pénale). Quant à l'impératif de prévention spéciale, comme il est déjà au centre de la question de l'octroi du sursis (pour lequel la réparation du dommage constitue également un élément pertinent [art. 42 al. 3 CP]), que présuppose l'exemption de peine selon l'art. 53 CP, il ne joue, en règle générale, qu'un rôle de second plan dans l'appréciation de l'intérêt public (ATF 135 IV 12 consid. 3.4.3 p. 23 ; arrêt du Tribunal fédéral 6B_130/2016 du 21 novembre 2016 consid. 3.1).</w:t>
      </w:r>
    </w:p>
    <w:p>
      <w:r>
        <w:rPr>
          <w:b/>
        </w:rPr>
        <w:t>E. 3.4</w:t>
      </w:r>
    </w:p>
    <w:p>
      <w:r>
        <w:t>En l'espèce, la faute de l'appelant n'est pas insignifiante, mais sa gravité doit néanmoins être relativisée. Outre qu'il ne les a ni sollicitées ni suscitées, les images en cause ont été effacées par l'appelant avant même le début de la procédure pénale. La CPAR tient pour établi que ces images n'ont pas été diffusées auprès de tiers et que l'appelant, qui vit aujourd'hui en couple avec la jeune femme, n'a jamais cherché à s'en servir pour lui nuire. Ils ont tous deux été affectés par le déroulement de la procédure, même si les difficultés rencontrées sont certainement plus liées au contexte ambigu de leur relation à son début qu'à la procédure pénale elle-même, qui n'a pas entraîné de désagréments majeurs. En particulier, la perte d'emploi de l'appelant ne peut être imputée à la procédure pénale et à son déroulement, mais bien plus aux faits de la cause en tant que tels. La compagne de l'appelant, qui partage aujourd'hui sa vie, a d'emblée manifesté son opposition à toute poursuite à son encontre ; la condition de l'absence d'intérêt du lésé à la poursuite pénale (art. 53 let. b CP) est remplie. Cela étant, l'attitude de l'appelant, qui persiste à nier toute détention intentionnelle des images, fait obstacle à l'application de l'art. 53 CP, faute de reconnaissance de sa faute et de sa culpabilité. En revanche, compte tenu de l'ensemble du contexte, et bien qu'il s'agisse d'un cas limite, l'appelant peut être mis au bénéfice de l'art. 52 CP, essentiellement en raison du fait qu'il n'a ni cherché, ni sollicité, ni diffusé les images illicites, quand bien même il les a conservées à réception. L'appelant doit donc être reconnu coupable de pornographie au sens de l'art. 197 al. 5 CP, mais il sera renoncé au prononcé d'une peine. Le jugement querellé sera réformé dans ce sens. La présente condamnation ne figurera donc pas au casier judiciaire (art. 366 al. 2 lit. a CP a contrario ).</w:t>
      </w:r>
    </w:p>
    <w:p>
      <w:r>
        <w:rPr>
          <w:b/>
        </w:rPr>
        <w:t>E. 4</w:t>
      </w:r>
    </w:p>
    <w:p>
      <w:r>
        <w:t>Les frais de la procédure de première instance, sur lesquels la CPAR est tenue de statuer à nouveau, seront mis à la charge du prévenu, dès lors qu'il est reconnu coupable des faits qui lui sont reprochés (art. 428 al. 3 et 426 al. 1 CPP). En effet, si la procédure est classée en application de l'art. 52 ou 53 CP, les frais peuvent être mis à la charge du prévenu (cf. ATF 144 IV 202 ). Il en va de même lorsqu'aucune peine n'est prononcée. En appel, succombant sur le plan de la culpabilité et n'obtenant gain de cause que sur celui de la peine et sur la restitution du matériel séquestré, le prévenu sera condamné à la moitié des frais de la procédure envers l'Etat, qui comprendront un émolument de décision de CHF 1'500.- (art. 428 CPP et art. 14 al. 1 let. e du règlement fixant le tarif des frais en matière pénale [RTFMP ; RSG E 4 10.03]).</w:t>
      </w:r>
    </w:p>
    <w:p>
      <w:r>
        <w:rPr>
          <w:b/>
        </w:rPr>
        <w:t>E. 5</w:t>
      </w:r>
    </w:p>
    <w:p>
      <w:r>
        <w:t>5.1. Si le prévenu est acquitté totalement ou en partie, s'il bénéficie d'une ordonnance de classement, ou s'il obtient gain de cause en appel, il a droit à une indemnité pour les dépenses occasionnées par l'exercice raisonnable de ses droits de procédure (art. 429 al. 1 let. a et 436 al. 1 et 2 CPP).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w:t>
      </w:r>
    </w:p>
    <w:p>
      <w:r>
        <w:rPr>
          <w:b/>
        </w:rPr>
        <w:t>E. 5.2</w:t>
      </w:r>
    </w:p>
    <w:p>
      <w:r>
        <w:t>En l'espèce, l'appelant sera débouté de ses conclusions en indemnisation de ses frais de défense de première instance, dans la mesure où, reconnu coupable, il a été condamné aux frais de procédure y relatifs.</w:t>
      </w:r>
    </w:p>
    <w:p>
      <w:r>
        <w:rPr>
          <w:b/>
        </w:rPr>
        <w:t>E. 5.3</w:t>
      </w:r>
    </w:p>
    <w:p>
      <w:r>
        <w:t>Obtenant partiellement gain de cause en seconde instance, il sera par contre indemnisé de ses frais de défense à hauteur de la moitié, soit dans une proportion identique à celle des frais laissés à la charge de l'Etat. En tant qu'elle concerne la procédure d'appel, l'activité de son avocat doit être arrêtée à cinq heures, durée des débats comprise ainsi qu'un temps de préparation de durée équivalente, ce qui représente, sur la base du tarif horaire de CHF 400.- conforme à la jurisprudence cantonale, et TVA comprise, des honoraires de CHF 2'154.- (CHF 400.- × 5 heures + TVA de 7.7%). L'indemnité due à l'intimée sera ainsi arrêtée à CHF 1'077.- (CHF 2'154.- ÷ 2). Conformément à l'art. 442 al. 4 CPP, cette indemnité sera compensée jusqu'à due concurrence avec les frais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