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P/13416/2018 vom 10. März 2025</w:t>
      </w:r>
    </w:p>
    <w:p>
      <w:r>
        <w:t>GE Cour de justice, 2025-03-10, FR</w:t>
      </w:r>
    </w:p>
    <w:p>
      <w:r>
        <w:rPr>
          <w:b/>
        </w:rPr>
        <w:t xml:space="preserve">Quelle: </w:t>
      </w:r>
      <w:r>
        <w:t>https://mcp.opencaselaw.ch/entscheid/ge_gerichte_P_13416_2018</w:t>
      </w:r>
    </w:p>
    <w:p>
      <w:r>
        <w:t>FR: GE_GERICHTE P/13416/2018 du 10 mars 2025</w:t>
      </w:r>
    </w:p>
    <w:p>
      <w:r>
        <w:t>IT: GE_GERICHTE P/13416/2018 del 10 marzo 2025</w:t>
      </w:r>
    </w:p>
    <w:p>
      <w:pPr>
        <w:pStyle w:val="Heading2"/>
      </w:pPr>
      <w:r>
        <w:t>Regeste</w:t>
      </w:r>
    </w:p>
    <w:p>
      <w:r>
        <w:t>CP.312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 L'art. 312 CP réprime le fait pour un membre d'une autorité ou un fonctionnaire d'abuser des pouvoirs de sa charge dans le dessein de se procurer ou de procurer à un tiers un avantage illicite ou de nuire à autrui. 3.1.1.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149 IV 128 consid. 1.3.1 ; ATF 127 IV 209 consid. 1b ; arrêt du Tribunal fédéral 1B_40/2020 du 18 juin 2020 consid. 6.1). 3.1.2. Sur le plan objectif, l'infraction suppose que l'auteur soit un membre d'une autorité ou un fonctionnaire au sens de l'art. 110 al. 3 CP, qu'il ait agi dans l'accomplissement de sa tâche officielle et qu'il ait abusé des pouvoirs inhérents à cette tâche. 3.1.2.1.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 et arrêts cités ; B. CORBOZ, Les infractions en droit suisse, vol II., 3 ème éd., Berne 2010, n. 7 ad art. 312). Ainsi, l’art. 312 CP ne vise pas toutes les actions contraires aux devoirs qu’un fonctionnaire peut accomplir dans l’exercice de ses fonctions ; seuls sont visés les cas où l'auteur accomplit un acte ou prend une mesure entrant dans ceux que ses fonctions lui commandent d'accomplir ordinairement (ATF 127 IV 209 consid. 1a/aa ; ATF 108 IV 48 consid. 2a ; M. DUPUIS / L. MOREILLON / C. PIGUET / S. BERGER / M. MAZOU / V. RODIGARI, Code pénal – Petit commentaire, 2 ème éd., Bâle 2017, n. 10 ad art. 312). Il convient dès lors de se demander si l'abus de pouvoir apparaît comme l'exercice du pouvoir qu'un fonctionnaire détient en raison de sa fonction et si l'agent agit ainsi sous la protection de son statut (ATF 127 IV 209 consid. 1a/bb ; G. STRATENWERTH / F. BOMMER, Schweizerisches Strafrecht - Besonderer Teil Bd. II, 7 ème éd., Berne 2013, § 59, N. 9). Le Tribunal fédéral a confirmé la condamnation d'un conseiller administratif du chef d'abus d'autorité pour avoir fait annuler deux amendes d'ordre infligées à des proches et trente-cinq amendes d'ordre le concernant pour stationnement illicite (arrêt 6B_76/2011 du 31 mai 2011 consid. 4 et 5). L'autorité précédente avait retenu que le recourant, qui avait ordonné à ses subordonnés de procéder à l'annulation des amendes d'ordre et usé des pouvoir de sa fonction dans un but contraire au droit, était compétent pour ordonner l'annulation d'amendes d'ordre ( ACJP/250/2010 du 13 décembre 2010 consid. 2.2.1), raisonnement que le Tribunal fédéral a confirmé, estimant qu'il n'était pas arbitraire de retenir qu'il avait usé de ses fonctions pour obtenir l'annulation des amendes litigieuses ou ordonné dite annulation (arrêt 6B_76/2011 du 31 mai 2011 consid. 4.1). 3.1.2.2. L'art. 312 CP ne tend à sanctionner comme abus d'autorité que les cas spécialement importants de manquement à un devoir de fonction (FF 1918 IV 1 73), les infractions de moindre gravité devant être sanctionnées par la voie disciplinaire, voire par des dispositions cantonales sur la répression des contraventions conformément à l'art. 335 CP (ATF 88 IV 69 consid. 1). L'abus est davantage qu'une simple violation des devoirs de services (ATF 114 IV 43 consid. 2). Pour conclure à l'existence d'un abus, il ne suffit pas qu'une autorité supérieure ou de recours ait constaté que le fonctionnaire avait violé ses devoirs ou excédé ses compétences (ATF 114 IV 43 consid. 2). Il doit s'agir d'une violation insoutenable des règles applicables (ATF 127 IV 211 consid. 1a/aa ; M. DUPUIS et al. [éds], op. cit, n. 19 ad. art. 312 ; B. CORBOZ, op. cit., n 6 ad art. 312). Il n'est pas facile de tracer la limite à partir de laquelle on peut parler d'abus, mais les exigences subjectives sont également de nature à éviter que cette disposition ne soit appliquée à la moindre faute de service (B. CORBOZ, op. cit., n. 6 ad art. 312). Dans l'arrêt AARP/400/2021 du 13 décembre 2021, la CPAR a confirmé la condamnation pour instigation à abus d'autorité du directeur de cabinet d'un magistrat, ayant sollicité le directeur du Service du commerce afin que celui-ci délivre une autorisation d'exploiter un établissement public dans un délai extraordinairement court (neuf jours à la place d'un mois) et alors que le dossier était incomplet. La CPAR a considéré qu'il s'agissait là d'un manquement insoutenable qui contrevenait à la loi, à la pratique de l'autorité administrative, à l'égalité de traitement et à la sécurité du droit dès lors qu'il en résultait un traitement différent de celui accordé à l'ensemble des administrés, sans justification objective. Le Tribunal fédéral a confirmé la condamnation d'un conseiller administratif ayant usé de ses pouvoirs afin de faire annuler des amendes d'ordre. Devant respecter le principe de l'égalité devant la loi, il ne pouvait pas faire en sorte qu'une personne échappe à une sanction prévue par la loi au seul motif qu'elle disposait de liens privilégiés avec des personnes compétentes pour annuler une telle sanction ou, pire, parce qu'elle était elle-même une de ces personnes. Le prévenu ne disposait d'aucun motif raisonnable pour faire annuler les amendes concernées, tant s'agissant de lui-même que des personnes avec lesquelles il entretenait un lien d'amitié. Il avait ainsi agi par favoritisme, ce qui constituait un abus d'autorité. S'agissant de ces dernières, il avait sciemment accepté de donner suite à leur requête en dépit du fait qu'elles n'étaient pas justifiées, procurant ainsi à ces tiers un avantage illicite (arrêt du Tribunal fédéral 6B_76/2011 du 31 janvier 2011 consid. 5.2 à 5.6). 3.1.3. Du point de vue subjectif, l'infraction suppose un comportement intentionnel, au moins sous la forme du dol éventuel (ATF 149 IV 128 consid. 1.3.1). L'auteur doit avoir conscience de son statut et accepter l'éventualité d'abuser de ses pouvoirs de sa charge. Une réponse négative conduit à la conclusion que l'infraction n'est pas réalisée (B. CORBOZ, op. cit., n. 9 ad art. 312). L'auteur doit également agir dans le but de se procurer ou de procurer à un tiers un avantage illicite, ou encore avec le dessein de nuire à autrui (ATF 149 IV 128 consid. 1.3.1 ; arrêts du Tribunal fédéral 6B_1012/2017 du 23 mars 2018 consid. 1.1 ; 6B_138/2017 du 19 juillet 2017 consid. 3.2). 3.1.4. 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Il pense, à tort, que l'acte concret qu'il commet est conforme au droit. Pour admettre l'erreur sur l'illicéité, il ne suffit pas que l'auteur pense que son comportement n'est pas punissable, ni qu'il ait cru à l'absence d'une sanction. Déterminer ce que l'auteur d'une infraction a su, cru ou voulu et, en particulier, l'existence d'une erreur relève de l'établissement des faits (ATF 141 IV 336 consid. 2.4.3 ; 148 IV 298 consid. 7.6 ; 150 IV 10 consid. 4.7.2). 3.2.1. Selon l'art. 15 al. 1 CPP, en matière de poursuite pénale, les activités de la police, qu’elle soit fédérale, cantonale ou communale, sont régies par ce code. La police enquête sur des infractions de sa propre initiative, sur dénonciation de particuliers ou d’autorités ainsi que sur mandat du ministère public ; dans ce cadre, elle est soumise à la surveillance et aux instructions du ministère public (al. 2). Il en découle que le CPP est applicable dès la procédure préliminaire (Y. JEANNERET / A. KUHN / C. PERRIER DEPEURSINGE [éds], Commentaire romand : Code de procédure pénale suisse, 2 ème éd., Bâle 2019, n. 1 ad art 1 et n. 1 à 2a ad art. 15). 3.2.2. Lorsque des soupçons laissent présumer qu'une infraction a été commise, des investigations sont effectuées et des preuves administrées dans la procédure préliminaire, afin d'établir si une ordonnance pénale doit être décernée contre le prévenu, s'il doit être mis en accusation ou si la procédure doit être classée (art. 299 al. 2 CPP). Conformément à l'art. 306 al. 1 CPP, lors de ses investigations, la police établit les faits constitutifs de l'infraction. Ce faisant, elle se fonde sur les dénonciations, les directives du ministère public ou ses propres constatations. Le CPP en vigueur ne contient pas de dispositions relatives à l’investigation préalable à des fins préventives dans le sens d’une activité déployée par la police afin d’empêcher ou de détecter d’éventuels délits futurs. En pratique, la frontière qui sépare l’activité relevant de la législation sur la police de celle qui se fonde sur la procédure pénale est floue et une distinction nette n’est pas toujours possible. Le critère distinctif décisif pour appliquer le CPP est le soupçon initial prévu par la procédure pénale. En d’autres termes, les dispositions du CPP sur l’investigation et les recherches secrètes ne trouvent en principe application que lorsqu’il y a soupçon de commission d’un crime ou d’un délit (cf. art. 286 al. 1 let. a et 298b al. 1 let. b CPP). Si des actes d’investigation ont lieu avant qu’il existe un soupçon de commission d’une infraction, dans le cadre d’une prise de contact ou d’une opération préalable visant à prévenir des infractions futures, il ne s’agit pas de mesures prévues par la procédure pénale, mais d’actes de prévention policière classiques. En cette matière, la compétence de légiférer appartient aux cantons (ATF 143 IV 27 consid. 2.5). 3.3.1. L'art. 11 let. f de la loi d'application de la législation fédérale sur la circulation routière (LaLCR) dispose que sont enlevés ou mis en fourrière " les véhicules parqués sans droit sur terrain privé suite à une plainte pénale ". 3.3.2. La plainte pénale est une déclaration de volonté inconditionnelle par laquelle le lésé requiert l'introduction d'une poursuite pénale contre les auteurs de l'atteinte. La plainte est valable lorsque celui qui a qualité pour la déposer a fait connaître à l'autorité compétente dans les délais et dans la forme prescrite par la procédure cantonale sa volonté inconditionnelle de faire poursuivre l'auteur de telle sorte que la procédure suive son cours sans nouvelle détermination du lésé (L. MOREILLON / A. MACALUSO / N. QUELOZ / N. DONGOIS [éds], Commentaire romand : Code pénal I, 2 ème éd., Bâle 2021, n. 3, 5 et 8 ad art. 30). Selon l’art. 304 CPP, elle doit être déposée auprès de la police, du ministère public ou de l’autorité pénale compétente en matière de contraventions, par écrit ou oralement ; dans ce dernier cas, elle est consignée au procès-verbal (al. 1) ; le fait de renoncer à porter plainte ou le retrait de la plainte pénale sont soumis aux mêmes exigences de forme (al. 2). Si la démarche est faite verbalement, il y a alors lieu de dresser un procès-verbal, lequel n'appelle pas de signature (Y. JEANNERET / A. KUHN/ C. PERRIER DEPEURSINGE [éds], op. cit., n. 4 ad art. 304). Conformément à l'art 303 al. 2 CPP, l'autorité compétente peut prendre, avant le dépôt de la plainte pénale ou l'octroi de l'autorisation, les mesures conservatoires qui ne souffrent aucun retard.</w:t>
      </w:r>
    </w:p>
    <w:p>
      <w:r>
        <w:rPr>
          <w:b/>
        </w:rPr>
        <w:t>E. 3.4</w:t>
      </w:r>
    </w:p>
    <w:p>
      <w:r>
        <w:t>À teneur de l'art. 56 let. e CPP, toute personne exerçant une fonction au sein d'une autorité pénale est tenue de se récuser lorsqu’elle est parente ou alliée avec une partie, en ligne directe ou jusqu’au troisième degré en ligne collatérale. L'art. 57 CPP prévoit, sous le titre marginal "déclaration obligatoire", que lorsqu’une personne qui exerce une fonction au sein d’une autorité pénale a un motif de se récuser, elle doit le déclarer en temps utile à la direction de la procédure. La déclaration doit s'effectuer en temps utile, soit aussitôt que possible, ce qui équivaut normalement au moment où la personne concernée prend connaissance de ce qu'un dossier lui a été attribué et constate qu'il concerne une personne dont il ne peut traiter le cas avec impartialité (Y. JEANNERET / A. KUHN/ C. PERRIER DEPEURSINGE [éds], op. cit., n. 3 ad art. 57).</w:t>
      </w:r>
    </w:p>
    <w:p>
      <w:r>
        <w:rPr>
          <w:b/>
        </w:rPr>
        <w:t>E. 3.5</w:t>
      </w:r>
    </w:p>
    <w:p>
      <w:r>
        <w:t>E______ :</w:t>
      </w:r>
    </w:p>
    <w:p>
      <w:r>
        <w:rPr>
          <w:b/>
        </w:rPr>
        <w:t>E. 3.5.1</w:t>
      </w:r>
    </w:p>
    <w:p>
      <w:r>
        <w:t>En l'espèce, il est établi et non contesté que E______, commissaire de service, était occupé par une importante opération de police liée à un incendie lorsqu'il a été contacté par C______, le 15 juin 2018, afin de déterminer la suite à donner à l'enlèvement d'un véhicule stationné sans droit sur un terrain privé. Informé du fait qu'il s'agissait d'un conflit au sein de la famille de sa collègue, il s'est enquis de savoir si une plainte pénale avait été déposée pour ces faits. C______ a répondu par la négative, du fait que sa mère se trouvait à l'étranger, mais l’a assuré de la volonté de celle-ci de porter plainte à son retour, prévu le lendemain, ce qu'elle a consigné au journal des événements. Fort de ces éléments, E______ a validé l'enlèvement du véhicule, moyennant l'engagement de G______ de déposer plainte sans délai et instruisant C______ de contacter les agents de la police municipale, puis de demander l'intervention d'une patrouille de la police cantonale. La Police a été nantie, le 17 juin 2018, d'une déclaration écrite signée de G______ exprimant sa volonté de poursuivre le stationnement illicite d'un véhicule automobile sur sa parcelle le 15 juin 2018 à 21h00. Le 18 juin 2018, celle-ci a déposé plainte contre A______ pour violation de domicile et vol.</w:t>
      </w:r>
    </w:p>
    <w:p>
      <w:r>
        <w:rPr>
          <w:b/>
        </w:rPr>
        <w:t>E. 3.5.2</w:t>
      </w:r>
    </w:p>
    <w:p>
      <w:r>
        <w:t>Selon le déroulement des faits exposés ci-avant, E______ a pris une mesure entrant dans celles que ses fonctions lui commandaient d'accomplir selon l'ordre de service relatif à la circulation et le stationnement des véhicules sur terrains privés. Il a néanmoins délivré l'autorisation d'enlèvement tout en sachant qu'il n'y avait pas de plainte pénale déposée. Ce faisant, il a agi de manière contraire à l'art. 11 let. f LaLCR ainsi qu'à l'ordre de service précité, dont la formulation, comme l'a relevé le TP dans une interprétation littérale et systématique, ne permettait pas de se contenter d'une promesse de porter plainte mais requérait que celle-ci soit déposée au plus tard simultanément, interprétation qui n'est au demeurant pas remise en cause par les parties. Quant à la pratique prétendument existante au sein de la Police au moment des faits, elle n'est pas déterminante au vu de son illicéité. Dite pratique ne pouvait donc constituer un fait justificatif à l'autorisation délivrée à un particulier, comme ce fut le cas.</w:t>
      </w:r>
    </w:p>
    <w:p>
      <w:r>
        <w:rPr>
          <w:b/>
        </w:rPr>
        <w:t>E. 3.5.3</w:t>
      </w:r>
    </w:p>
    <w:p>
      <w:r>
        <w:t>Il convient dès lors d'apprécier si la faute de E______, qui ne s'est pas conformé à l'ordre de service, est constitutive d'une violation suffisamment grave pour admettre un abus d'autorité au sens de l'art. 312 CP, ce qui nécessite de replacer les actes en cause dans leur contexte. Les éléments au dossier laissent tout d'abord apparaître que la décision a été prise rapidement au vu de sa charge de travail. E______ était en effet occupé à gérer un incendie d'ampleur au moment des faits et avait reçu, en sa qualité de commissaire, près de six appels par heure, soit 75 appels au cours de la journée. Dans ces conditions, lui-même reconnaît qu'il s'était avant tout assuré qu'une plainte pénale serait déposée sans délai, sans procéder à une réflexion d'ensemble plus approfondie, notamment quant au caractère non-urgent de la problématique, admettant a posteriori une erreur d'appréciation de sa part à ce sujet. Les explications qu'il avait reçues émanaient d'une inspectrice de la police judiciaire, soit d'une personne qui bénéficiait légitimement d'une certaine confiance à ses yeux, ce qui, partant, faisait encourir un risque minime que les garanties données, à savoir la promesse du dépôt d'une plainte, ne se matérialisent pas. C______ a par ailleurs elle-même inscrit, dans le journal des événements, que la plainte suivrait, ce qui fut le cas dans la foulée, un formulaire de plainte mentionnant la demande d'enlèvement ayant été signé par G______ le 17 juin 2018 et une plainte pénale pour violation de domicile déposée le 18 juin 2018. Enfin, la manière de procéder de E______, lequel avait expressément assujetti l'autorisation d'enlever le véhicule au dépôt d'une plainte sans délai, laisse apparaître que la tolérance manifestée envers G______, comme celle pratiquée à l'égard des régies, s'expliquait par des motifs d'efficience, afin de mettre en œuvre la procédure en cas d'impossibilité matérielle temporaire de déposer plainte pénale, ce qui était objectivement le cas de G______. Ainsi, vu le contexte, la faute de E______ n'apparaît pas comme une violation insoutenable des règles applicables au sens des principes énoncés supra (cf. consid. 3.1.2.2), l'élément constitutif objectif de l'abus d'autorité faisant donc défaut.</w:t>
      </w:r>
    </w:p>
    <w:p>
      <w:r>
        <w:rPr>
          <w:b/>
        </w:rPr>
        <w:t>E. 3.5.4</w:t>
      </w:r>
    </w:p>
    <w:p>
      <w:r>
        <w:t>Il s'en suit que E______ doit être acquitté du chef d'abus d'autorité. Les appels du MP et de A______ seront rejetés sur ce point.</w:t>
      </w:r>
    </w:p>
    <w:p>
      <w:r>
        <w:rPr>
          <w:b/>
        </w:rPr>
        <w:t>E. 3.6</w:t>
      </w:r>
    </w:p>
    <w:p>
      <w:r>
        <w:t>C______ :</w:t>
      </w:r>
    </w:p>
    <w:p>
      <w:r>
        <w:rPr>
          <w:b/>
        </w:rPr>
        <w:t>E. 3.6.1</w:t>
      </w:r>
    </w:p>
    <w:p>
      <w:r>
        <w:t>Le soir des faits, C______, alors en service au sein de la brigade I______ et accompagnée de son collègue J______, s'est rendue au domicile de G______, après avoir été informée par celle-ci que A______ avait stationné le véhicule de son entreprise sur sa propriété et au vu des soupçons de vol portés à sa connaissance. Sur place, elle a sollicité à deux reprises E______, en tant que commissaire de service et supérieur hiérarchique, pour déterminer la procédure à suivre en cas de véhicule garé sans droit sur un terrain privé, tout en lui expliquant de manière transparente les liens qui l'unissaient à la propriétaire du terrain. Suivant les consignes transmises par E______, elle a ensuite contacté la CECAL, tout en lui transmettant avoir fait appel au commissaire compétent qui lui demandait de procéder de la sorte. Elle est ensuite restée sur place jusqu'à l'intervention de la société de dépannage.</w:t>
      </w:r>
    </w:p>
    <w:p>
      <w:r>
        <w:rPr>
          <w:b/>
        </w:rPr>
        <w:t>E. 3.6.2</w:t>
      </w:r>
    </w:p>
    <w:p>
      <w:r>
        <w:t>C______ a accompli un acte entrant dans ceux que ses fonctions lui commandaient de faire ordinairement en présence de tout soupçon de commission d'une infraction pénale (cf. supra consid. 3.2.1 et 3.2.2), ce qui était le cas au vu des informations dont elle disposait suite à la dénonciation de sa mère, puis en se rendant sur place.</w:t>
      </w:r>
    </w:p>
    <w:p>
      <w:r>
        <w:rPr>
          <w:b/>
        </w:rPr>
        <w:t>E. 3.6.3</w:t>
      </w:r>
    </w:p>
    <w:p>
      <w:r>
        <w:t>Sous l’angle de l’abus, il convient de distinguer entre la violation des règles de procédure, soit le comportement consistant à ne pas se récuser au vu de ses liens familiaux (cf. infra consid. 3.6.3.1), et la violation des règles applicables concernant l'enlèvement d'un véhicule stationné sur un terrain privé (cf. infra consid. 3.6.3.2).</w:t>
      </w:r>
    </w:p>
    <w:p>
      <w:r>
        <w:rPr>
          <w:b/>
        </w:rPr>
        <w:t>E. 3.6.3.1</w:t>
      </w:r>
    </w:p>
    <w:p>
      <w:r>
        <w:t>Au vu des liens de parenté avec G______, C______ tombait dans le cas d'application visé à l'art. 56 let. d CPP et aurait dû s'abstenir d'intervenir dans le traitement de cette réquisition. En effet, il ne peut être exclu que le fait d'intervenir personnellement lui permettait d'"instrumentaliser" le commissaire E______ pour rendre service à sa mère et obtenir ainsi un "passe-droit" auprès de celui-ci, ce qu'elle ne pouvait ignorer ou, à tout le moins, considérer comme possible. Elle ne pouvait en outre, dans cette situation de conflit d'intérêts, suppléer l'intervention d'une patrouille de police-secours, comme elle l'a fait en attendant sur place l'intervention de la dépanneuse, alors même qu'il n'y avait pas d'urgence. Ces éléments représentent autant de moyens dont le quidam, sans lien à l'interne avec la police, n'aurait pu bénéficier dans une situation semblable. Cela étant, une telle apparence de partialité ne signifie pas encore qu'un abus d'autorité aurait été commis, dès lors que l'abus doit être considéré comme une violation insoutenable des règles applicables, ce qui nécessite, à l'instar de ce qui a été fait pour E______, de replacer la situation dans son contexte. Il sied tout d'abord de relever, avec le TP, que l'on ne peut reprocher à C______ d'avoir agi de manière unilatérale. Elle a fait appel à son supérieur hiérarchique pour connaître la procédure à suivre et agir ensuite avec son autorisation. Elle ne lui a pas non plus tu la problématique, en détaillant ses liens familiaux de manière transparente. Elle n'a pas enfin aggravé la situation en évoquant un risque de cambriolage ou de vols pour donner un caractère urgent à l'affaire, vu les soupçons fondés. En outre, elle a agi, tout du long, en présence de son collègue J______, supérieur en grade, lequel connaissait les enjeux liés à sa situation familiale et ne s'est pas opposé aux différentes démarches entreprises. S'il faut relever qu'il a reconnu avoir signé la fiche destinée au dépanneur pour éviter que le nom de sa collègue n'apparaisse, signe d'un certain malaise sur la forme, son comportement démontre cependant sur le fond que l'enlèvement lui semblait justifié, étant rappelé que celui-ci n'a pas été mis en prévention par le MP. Force est enfin de constater que la procédure, outre le fait qu'il n'y avait pas eu de plainte, ce qui sera examiné infra (cf. consid. 3.6.3.2), concernait la propriétaire de la parcelle concernée, soit la personne légitimée à porter plainte. Tout porte ainsi à croire qu'elle remplissait les conditions de la loi au moment des faits. Au vu des éléments qui précèdent, qui tiennent compte du contexte dans lequel la faute de C______ a été commise, il ne s'agit pas d'une violation insoutenable des règles applicables au sens des principes énoncés supra et, à défaut, les conditions d'un abus d'autorité ne sont pas remplies pour ce volet.</w:t>
      </w:r>
    </w:p>
    <w:p>
      <w:r>
        <w:rPr>
          <w:b/>
        </w:rPr>
        <w:t>E. 3.6.3.2</w:t>
      </w:r>
    </w:p>
    <w:p>
      <w:r>
        <w:t>Autre est encore la question de l'enlèvement du véhicule de A______. En l'absence de dépôt de plainte pénale, les conditions de cet enlèvement n'étaient pas remplies, C______ agissant de manière contraire à l'art. 11 let. f LaLCR et à l'ordre de service relatif à la circulation et le stationnement des véhicules sur terrains privés. Le déroulement des faits laisse toutefois apparaître qu'elle n'avait pas conscience du caractère illicite de son comportement, qui lui avait été expressément autorisé par son supérieur hiérarchique. C______ a expliqué de manière crédible qu'elle n'avait pas connaissance de la marche à suivre dans une pareille situation, raison pour laquelle elle l'avait sollicité. Cette version est également corroborée par J______ et E______, celui-là précisant que les inspecteurs ne connaissaient pas les détails procéduraux de ce genre d'intervention. Aussi, on ne saurait exiger d'une subalterne qu'elle remette en question une information sur un processus fourni par son supérieur compétent en la matière, tel que celui concernant l'enlèvement d'un véhicule stationné sans droit sur un terrain privé. Cette situation n'est au demeurant pas comparable à celle où un tel supérieur ordonnerait la réalisation d'un acte notoirement contraire à la loi comme une atteinte à l'intégrité personnelle d'un détenu. Dans ces conditions, C______ avait des raisons suffisantes de se croire en droit d'organiser l'enlèvement du véhicule de A______ (art. 21 CP). Partant, il ne peut être retenu qu'elle a agi de manière coupable en lien avec l'enlèvement dudit véhicule.</w:t>
      </w:r>
    </w:p>
    <w:p>
      <w:r>
        <w:rPr>
          <w:b/>
        </w:rPr>
        <w:t>E. 3.6.4</w:t>
      </w:r>
    </w:p>
    <w:p>
      <w:r>
        <w:t>C______ sera dès lors acquittée du chef d'abus d'autorité, ce qui conduit au rejet des appels et à la confirmation du jugement entrepris. L'acquittement ne préjuge toutefois en rien d'éventuelles sanctions disciplinaires qui pourraient être prises par l'autorité administrative et qui ne relèvent pas de la juridiction d'appel.</w:t>
      </w:r>
    </w:p>
    <w:p>
      <w:r>
        <w:rPr>
          <w:b/>
        </w:rPr>
        <w:t>E. 4.1</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149 IV 289 consid. 2.1.1 ; 143 IV 339 consid. 3.1).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 en revanche, il n'y a pas lieu de prendre en compte les désagréments inhérents à toute poursuite pénale comme la charge psychique que celle-ci est censée entraîner normalement chez une personne mise en cause (ATF 146 IV 231 consid. 2.3.1 ; 143 IV 339 consid. 3.1 ; arrêts du Tribunal fédéral 7B_29/2022 du 9 octobre 2023 consid. 3.1 ; 6B_1374/2021 du 18 janvier 2023 consid. 3.1).</w:t>
      </w:r>
    </w:p>
    <w:p>
      <w:r>
        <w:rPr>
          <w:b/>
        </w:rPr>
        <w:t>E. 4.2</w:t>
      </w:r>
    </w:p>
    <w:p>
      <w:r>
        <w:t>En l'espèce, C______ sollicite une réparation symbolique pour le tort moral subi. Le fait d'avoir dû comparaître devant ses pairs et ses supérieurs hiérarchiques ne constitue cependant pas une atteinte spécifique et significative à sa personnalité, autre que l'atteinte liée à toute procédure pénale, laquelle est suffisamment réparée par le verdict d'acquittement prononcé. Ses prétentions à cet égard doivent donc être rejetées (art. 429 al. 1 let. c CPP a contrario).</w:t>
      </w:r>
    </w:p>
    <w:p>
      <w:r>
        <w:rPr>
          <w:b/>
        </w:rPr>
        <w:t>E. 5.1</w:t>
      </w:r>
    </w:p>
    <w:p>
      <w:r>
        <w:t>Compte tenu de l'acquittement dont C______ et E______ ont bénéficié devant le TP, les frais de la procédure préliminaire et de première instance seront laissés à la charge de l'État dans leur totalité (art. 426 al. 1 et 428 al. 3 CPP), point sur lequel le jugement querellé sera dès lors confirmé.</w:t>
      </w:r>
    </w:p>
    <w:p>
      <w:r>
        <w:rPr>
          <w:b/>
        </w:rPr>
        <w:t>E. 5.2</w:t>
      </w:r>
    </w:p>
    <w:p>
      <w:r>
        <w:t>Tous deux obtenant également gain de cause en appel, il se justifie de laisser les frais de la procédure d'appel à la charge de l'État, qui comprendront un émolument de décision de CHF 1'500.- (art. 14 al. 1 let. e du règlement fixant le tarif des frais en matière pénale [RTFMP]).</w:t>
      </w:r>
    </w:p>
    <w:p>
      <w:r>
        <w:rPr>
          <w:b/>
        </w:rPr>
        <w:t>E. 6</w:t>
      </w:r>
    </w:p>
    <w:p>
      <w:r>
        <w:t>6.1.1. La question de l'indemnisation doit être tranchée après celle des frais. Dans cette mesure, la question du règlement des frais préjuge de celle de l'indemnisation (ATF 147 IV 47 consid. 4.1 ; 145 IV 94 consid. 2.3.2 ; 144 IV 207 consid. 1.8.2). 6.1.2. À teneur de l'art. 429 al. 1 let. a CPP, le prévenu a droit, s'il est acquitté totalement ou en partie,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400.- à CHF 450.- pour les chefs d’étude ( AARP/177/2023 du 25 mai 2023 consid. 7.1 ; AARP/52/2023 du 20 février 2023 consid. 6.2.2). 6.1.3. Conformément à l'art. 436 al. 1 CPP, les prétentions en indemnités dans la procédure de recours sont régies par les art. 429 à 434 CPP.</w:t>
      </w:r>
    </w:p>
    <w:p>
      <w:r>
        <w:rPr>
          <w:b/>
        </w:rPr>
        <w:t>E. 6.2</w:t>
      </w:r>
    </w:p>
    <w:p>
      <w:r>
        <w:t>En l'espèce, le principe de la couverture des frais de défense de C______ est acquis tant pour la procédure préliminaire et de première instance que pour la procédure d'appel.</w:t>
      </w:r>
    </w:p>
    <w:p>
      <w:r>
        <w:rPr>
          <w:b/>
        </w:rPr>
        <w:t>E. 6.2.1</w:t>
      </w:r>
    </w:p>
    <w:p>
      <w:r>
        <w:t>L'indemnité allouée pour l'activité réalisée durant la procédure préliminaire et de première instance, dont la quotité n'est pas contestée, sera arrêtée à CHF 10'543.28, TVA comprise.</w:t>
      </w:r>
    </w:p>
    <w:p>
      <w:r>
        <w:rPr>
          <w:b/>
        </w:rPr>
        <w:t>E. 6.2.2</w:t>
      </w:r>
    </w:p>
    <w:p>
      <w:r>
        <w:t>Le décompte de frais déposé pour la procédure d'appel apparaît globalement conforme aux principes en matière d'indemnisation. Il convient toutefois de l'adapter à la durée effective de l'audience (trois heures et 35 minutes). L'indemnité due à C______ sera ainsi arrêtée à CHF 2'458.20, correspondant à 7h35 d'activité de cheffe d'étude à CHF 300.-/h (CHF 2'274.-), et l'équivalent de la TVA au taux de 8.1% en CHF 184.20.</w:t>
      </w:r>
    </w:p>
    <w:p>
      <w:r>
        <w:rPr>
          <w:b/>
        </w:rPr>
        <w:t>E. 6.3</w:t>
      </w:r>
    </w:p>
    <w:p>
      <w:r>
        <w:t>Il en va de même pour la couverture des frais de défense de E______, qui lui sont acquis tant pour la procédure préliminaire et de première instance que d'appel.</w:t>
      </w:r>
    </w:p>
    <w:p>
      <w:r>
        <w:rPr>
          <w:b/>
        </w:rPr>
        <w:t>E. 6.3.1</w:t>
      </w:r>
    </w:p>
    <w:p>
      <w:r>
        <w:t>L'indemnité octroyée pour la procédure préliminaire et de première instance, dont la quotité arrêtée par le TP n'est pas contestée, sera ainsi arrêtée à CHF 10'000.-, TVA comprise.</w:t>
      </w:r>
    </w:p>
    <w:p>
      <w:r>
        <w:rPr>
          <w:b/>
        </w:rPr>
        <w:t>E. 6.3.2</w:t>
      </w:r>
    </w:p>
    <w:p>
      <w:r>
        <w:t>La note de frais déposée pour la procédure d'appel, laquelle est globalement conforme aux principes en matière d'indemnisation, sera également avalisée. Sera ajoutée la durée effective de l'audience. L'indemnité due à E______ sera ainsi arrêtée au total à CHF 3'511.10, correspondant à 9h17 d'activité de chef d'étude à CHF 350.-/h (CHF 3'248.-) et l'équivalent de la TVA au taux de 8.1% en CHF 263.10.</w:t>
      </w:r>
    </w:p>
    <w:p>
      <w:r>
        <w:rPr>
          <w:b/>
        </w:rPr>
        <w:t>E. 7</w:t>
      </w:r>
    </w:p>
    <w:p>
      <w:r>
        <w:t>Vu la mise à la charge de l'État de la totalité des frais de la procédure préliminaire et de première instance, et dans la mesure où il succombe entièrement en appel, A______ ne saurait se prévaloir d'une indemnisation au sens de l'art. 433 CPP. Partant, ses conclusions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