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P/13413/2022 vom 6. April 2023</w:t>
      </w:r>
    </w:p>
    <w:p>
      <w:r>
        <w:t>GE Cour de justice, 2023-04-06, FR</w:t>
      </w:r>
    </w:p>
    <w:p>
      <w:r>
        <w:rPr>
          <w:b/>
        </w:rPr>
        <w:t xml:space="preserve">Quelle: </w:t>
      </w:r>
      <w:r>
        <w:t>https://mcp.opencaselaw.ch/entscheid/ge_gerichte_P_13413_2022</w:t>
      </w:r>
    </w:p>
    <w:p>
      <w:r>
        <w:t>FR: GE_GERICHTE P/13413/2022 du 6 avril 2023</w:t>
      </w:r>
    </w:p>
    <w:p>
      <w:r>
        <w:t>IT: GE_GERICHTE P/13413/2022 del 6 aprile 2023</w:t>
      </w:r>
    </w:p>
    <w:p>
      <w:pPr>
        <w:pStyle w:val="Heading2"/>
      </w:pPr>
      <w:r>
        <w:t>Regeste</w:t>
      </w:r>
    </w:p>
    <w:p>
      <w:r>
        <w:t>ACCÈS INDU À UN SYSTÈME INFORMATIQUE;SOUSTRACTION DE DONNÉES(ART. 143 CP) | CPP.310; CP.143bis; CP.143</w:t>
      </w:r>
    </w:p>
    <w:p>
      <w:pPr>
        <w:pStyle w:val="Heading2"/>
      </w:pPr>
      <w:r>
        <w:t>Erwägungen</w:t>
      </w:r>
    </w:p>
    <w:p>
      <w:r>
        <w:rPr>
          <w:b/>
        </w:rPr>
        <w:t>E. 1.1</w:t>
      </w:r>
    </w:p>
    <w:p>
      <w:r>
        <w:t>Le recours a été déposé dans le délai prescrit – les formalités de notification (art. 85 al. 2 CPP) n'ayant pas été observées – (art.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CPP).![endif]&gt;![if&gt;</w:t>
      </w:r>
    </w:p>
    <w:p>
      <w:r>
        <w:rPr>
          <w:b/>
        </w:rPr>
        <w:t>E. 1.2</w:t>
      </w:r>
    </w:p>
    <w:p>
      <w:r>
        <w:t>Bien que l'acte de recours ne contienne pas de conclusions formelles (art. 385 al.1 CPP), on comprend que la recourante – qui agit en personne – souhaite l'annulation de l'ordonnance querellée et l'ouverture d'une instruction. Partant, le recours est recevable.</w:t>
      </w:r>
    </w:p>
    <w:p>
      <w:r>
        <w:rPr>
          <w:b/>
        </w:rPr>
        <w:t>E. 1.3</w:t>
      </w:r>
    </w:p>
    <w:p>
      <w:r>
        <w:t>Les pièces nouvelles sont également recevables (arrêt du Tribunal fédéral 1B_550/2022 du 17 novembre 2022 consid. 2.1).![endif]&gt;![if&gt;</w:t>
      </w:r>
    </w:p>
    <w:p>
      <w:r>
        <w:rPr>
          <w:b/>
        </w:rPr>
        <w:t>E. 2</w:t>
      </w:r>
    </w:p>
    <w:p>
      <w:r>
        <w:t>En revanche, la conclusion de la recourante visant à ce que C______ et D______ soient " exclus " du territoire suisse, formulée au stade de la réplique, est exorbitante au présent recours et, partant, irrecevable. ![endif]&gt;![if&gt;</w:t>
      </w:r>
    </w:p>
    <w:p>
      <w:r>
        <w:rPr>
          <w:b/>
        </w:rPr>
        <w:t>E. 3</w:t>
      </w:r>
    </w:p>
    <w:p>
      <w:r>
        <w:t>L'objet du litige est, pour le surplus, strictement circonscrit par la plainte pénale. Ainsi, à défaut de décision préalable, la Chambre de céans n'est pas compétente pour se prononcer sur les agissements imputés à la société B______ SÀRL et/ou à ses associés, tels que la prétendue " mainmise" sur la ligne téléphonique de la recourante, l'écoulement de fausse monnaie et la participation à " un vol à l'arraché ", évoqués pour la première fois par la recourante dans le cadre du recours. L'acte est dès lors irrecevable sur ces aspects. ![endif]&gt;![if&gt; Le recours est, pour le surplus, recevable.</w:t>
      </w:r>
    </w:p>
    <w:p>
      <w:r>
        <w:rPr>
          <w:b/>
        </w:rPr>
        <w:t>E. 4</w:t>
      </w:r>
    </w:p>
    <w:p>
      <w:r>
        <w:t>Dès lors que la Chambre de céans jouit d'un plein pouvoir de cognition en droit, en fait et en opportunité (art. 393 al. 2 CPP) (ATF 137 I 195 consid. 2.3.2 p. 197; arrêt du Tribunal fédéral 1B_524/2012 du 15 novembre 2012 consid. 2.1), les éventuelles constatations incomplètes ou inexactes de la décision querellée auront été corrigées dans l'état de fait établi ci-dessus.![endif]&gt;![if&gt; Partant, le grief y relatif sera rejeté.</w:t>
      </w:r>
    </w:p>
    <w:p>
      <w:r>
        <w:rPr>
          <w:b/>
        </w:rPr>
        <w:t>E. 5</w:t>
      </w:r>
    </w:p>
    <w:p>
      <w:r>
        <w:t>La recourante semble se plaindre de ne pas avoir été entendue par la police et, partant, ne pas avoir pu faire parvenir des preuves complémentaires, avant que l'ordonnance de non-entrée en matière soit rendue.![endif]&gt;![if&gt;</w:t>
      </w:r>
    </w:p>
    <w:p>
      <w:r>
        <w:rPr>
          <w:b/>
        </w:rPr>
        <w:t>E. 5.1</w:t>
      </w:r>
    </w:p>
    <w:p>
      <w:r>
        <w:t>La phase qui précède l'ouverture d'une instruction au sens de l'art. 309 CPP (ou le prononcé d'une ordonnance de non-entrée en matière au sens de l'art. 309 al. 4 CPP) constitue les investigations policières au sens des art. 306 et 307 CPP (art. 300 al. 1 let. a CPP). Durant cette phase, le ministère public peut donner des directives à la police ou lui confier des mandats (art. 306 al. 1 CPP et 307 al. 2). Les informations recueillies lors de ces investigations permettent au Ministère public de prendre les décisions qui s'imposent en fonction des faits dénoncés (arrêt du Tribunal fédéral 6B_940/2016 du 6 juillet 2017 consid. 3.2).![endif]&gt;![if&gt; Le droit des parties de participer à l'administration des preuves prévu à l'art. 147 CPP ne s'applique pas lors des investigations policières au sens de l'art. 306 CPP (arrêt du Tribunal fédéral 6B_873/2017 du 12 mars 2018 consid. 3 et les arrêts cités).</w:t>
      </w:r>
    </w:p>
    <w:p>
      <w:r>
        <w:rPr>
          <w:b/>
        </w:rPr>
        <w:t>E. 5.2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6B_539/2016 du 1er novembre 2017 consid. 2.2.1; 6B_940/2016 du 6 juillet 2017 consid. 3.2).</w:t>
      </w:r>
    </w:p>
    <w:p>
      <w:r>
        <w:rPr>
          <w:b/>
        </w:rPr>
        <w:t>E. 5.3</w:t>
      </w:r>
    </w:p>
    <w:p>
      <w:r>
        <w:t>En l'occurrence, la procédure n'a pas dépassé la phase des premières investigations, ce qui permettait au Ministère public de rendre une ordonnance de non-entrée en matière et, partant, le dispensait d'interpeller, entendre, ou faire entendre la recourante ou de lui octroyer un délai pour déposer des réquisitions de preuves. Pour le surplus, la recourante a pu faire valoir devant la Chambre de céans les arguments qu'elle estimait pertinents et présenter ses réquisitions de preuve. Son droit d'être entendue a ainsi été pleinement respecté. Il s'ensuit que le grief doit être rejeté.</w:t>
      </w:r>
    </w:p>
    <w:p>
      <w:r>
        <w:rPr>
          <w:b/>
        </w:rPr>
        <w:t>E. 6</w:t>
      </w:r>
    </w:p>
    <w:p>
      <w:r>
        <w:t>La recourante reproche au Ministère public de ne pas être entré en matière sur sa plainte. ![endif]&gt;![if&gt;</w:t>
      </w:r>
    </w:p>
    <w:p>
      <w:r>
        <w:rPr>
          <w:b/>
        </w:rPr>
        <w:t>E. 6.1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Code de procédure pénale suisse , 2 ème éd., Bâle 2019, n. 10 ad art. 310).</w:t>
      </w:r>
    </w:p>
    <w:p>
      <w:r>
        <w:rPr>
          <w:b/>
        </w:rPr>
        <w:t>E. 6.2</w:t>
      </w:r>
    </w:p>
    <w:p>
      <w:r>
        <w:t>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part.![endif]&gt;![if&gt;</w:t>
      </w:r>
    </w:p>
    <w:p>
      <w:r>
        <w:rPr>
          <w:b/>
        </w:rPr>
        <w:t>E. 6.3</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pécuniaire.![endif]&gt;![if&gt; Pour que l'infraction soit réalisée, il faut être en présence de trois conditions, soit un accès à un système informatique, appartenant à autrui et spécialement protégé, qui soit indu et intentionnel. On entend par système informatique tous types d'ordinateurs (B. CORBOZ, Les infractions en droit suisse , vol. I, 3 ème éd., Berne 2010, n. 1 ad art. 143bis CP). Cependant, il faut admettre qu'eu égard à la parcellisation et la virtualisation qu'offre désormais l'informatique, que si tout traitement s'appuie nécessairement sur une installation « physique », la notion de système informatique ne se résume plus à cela. Une même machine peut s'ouvrir sur plusieurs sessions, respectivement contenir différents espaces suivant l'utilisateur et, précisément, le mot de passe pour chacun. À cet égard, l'art. 143bis CP a été construit dès l'origine comme une violation de domicile informatique, ce qui renvoie très exactement à cette notion d'espace virtuel, dont on doit pouvoir disposer en paix, soit sans intrusion. Le but du législateur était de manifester que la protection pénale s'exerce avant tout à l'égard des données elles-mêmes (M. DUPUIS / L. MOREILLON / C. PIGUET / S. BERGER / M. MAZOU / V. RODIGARI (éds), Code pénal - Petit commentaire , 2 e éd., Bâle 2017, n. 8 ad art. 143bis et les références citées). Une boîte aux lettres électronique doit être considérée comme un sous-système informatique composé d'un ensemble de données, dont la violation tombe donc sous le coup de l'art. 143bis CP (arrêt du Tribunal fédéral 6B_456/2007 du 18 mars 2008 consid. 4). Le système informatique doit être spécialement protégé contre tout accès grâce à une barrière informatique qui peut se concrétiser par la mise sur pied d'un codage, d'un chiffrement ou encore d'un code d'accès (S. METILLE / J. AESCHLIMANN, Infrastructures et données informatiques : quelle protection au regard du code pénal suisse ? , Revue pénale suisse 2014, vol. 132, p. 299). Le comportement punissable consiste à pénétrer un système informatique en détournant les sécurités et barrières virtuelles prévues par l'ayant droit. L'accès doit avoir été effectué sans droit, c'est-à-dire qu'il n'a pas été autorisé par la loi, par le consentement de la victime ou par un autre motif justificatif (S. METILLE / J. AESCHLIMANN , op. cit ., p. 301).</w:t>
      </w:r>
    </w:p>
    <w:p>
      <w:r>
        <w:rPr>
          <w:b/>
        </w:rPr>
        <w:t>E. 6.4</w:t>
      </w:r>
    </w:p>
    <w:p>
      <w:r>
        <w:t>En l'espèce, contrairement à ce que soutient la recourante, rien au dossier ne permet de retenir qu'un tiers aurait pénétré indûment dans sa boîte de messagerie privée et, par ce biais, pris connaissance de données sensibles et confidentielles. ![endif]&gt;![if&gt; En effet, il ressort explicitement du message d'alerte de Google du 16 juin 2022, de même que de son titre, que la boîte de messagerie à laquelle une personne se serait connectée depuis un appareil F______ est l'ancien compte professionnel – J______@K______.ch – de la recourante, auprès de la société B______ SÀRL. La réception par la recourante d'un message d'alerte sur son adresse électronique privée – J______@L______.com – s'explique uniquement par le fait qu'elle a défini cette dernière comme l'adresse de récupération de son ancien compte professionnel. Le courriel de Google précise d'ailleurs qu'il s'agit d'une " copie " du message envoyé sur l'adresse e-mail J______@K______.ch . Or, les infractions prévues aux art. 143 et 143bis CP ne sont réalisées que dans l'hypothèse où les données informatiques ne sont pas destinées à l'auteur et si elles ont été protégées contre tout accès indu de sa part. En l'occurrence, il ressort du dossier que les rapports de travail existants entre la société B______ SÀRL et la recourante ont pris fin le 18 mai 2022. Ainsi, lors de la connexion litigieuse, la société susvisée était l'unique titulaire et ayant droit de l'adresse électronique J______@K______.ch . La recourante ne le conteste du reste pas, puisqu'elle a expliqué ne plus pouvoir y accéder depuis son licenciement, le mot de passe d'accès ayant été modifié. Dans ces circonstances, le fait pour un employé de B______ SÀRL de s'être, par hypothèse – l'enquête de police n'ayant pas permis d'identifier l'auteur de la connexion dénoncée –, introduit dans cette boîte de messagerie, ne saurait tomber sous le coup des art. 143 et 143bis CP, faute d'accès indu. Pour le surplus, la recourante n'a produit aucun élément concret tendant à démontrer qu'un tiers aurait accédé sans droit à sa boîte e-mail privée J______@L______.com . À cet égard, il y a lieu de rappeler que ses allégations étaient exclusivement fondées sur le message d'alerte de sécurité de Google du 16 juin 2022, lequel, comme précédemment exposé, ne concernait pas sa boîte de messagerie privée. De plus, aucune soustraction de données n'a été rendue vraisemblable, la recourante n'ayant apporté aucun élément probant en ce sens. En outre, le préjudice moral et financier important qu'elle allègue avoir subi n'est objectivé par aucun élément au dossier. À cet égard, le fait que le code d'accès à son compte J______@L______.com ait été modifié le 29 juillet 2022 ne permet pas de démontrer qu'elle aurait été licenciée par la société L______ LTD en raison d'un comportement imputable aux mis en cause ni qu'elle aurait subi un quelconque tort moral. Par ailleurs, rien ne permet d'exclure que la modification du mot de passe ait été effectuée par la recourante elle-même. En tout état, l'existence d'un lien de causalité entre le dommage moral et financier qu'elle allègue avoir subi et une éventuelle connexion à son système informatique n'est pas établi. La commission des infractions visées par les art. 143 et 143bis CP ne repose donc que sur les allégations de la recourante. Ainsi, en l’absence de toutes preuves matérielles, ces allégations ne sont que de simples suppositions. Faute de prévention pénale suffisante, c'est donc à bon droit que le Ministère public a renoncé à entrer en matière sur les infractions susmentionnées et aucune mesure d'instruction ne paraît être à même de modifier ce constat. La recourante n'en dit mot, d'ailleurs.</w:t>
      </w:r>
    </w:p>
    <w:p>
      <w:r>
        <w:rPr>
          <w:b/>
        </w:rPr>
        <w:t>E. 7</w:t>
      </w:r>
    </w:p>
    <w:p>
      <w:r>
        <w:t>Justifiée, l'ordonnance querellée sera donc confirmée.![endif]&gt;![if&gt;</w:t>
      </w:r>
    </w:p>
    <w:p>
      <w:r>
        <w:rPr>
          <w:b/>
        </w:rPr>
        <w:t>E. 8</w:t>
      </w:r>
    </w:p>
    <w:p>
      <w:r>
        <w:t>La recourante sollicite d'être mise au bénéfice de l'assistance juridique. ![endif]&gt;![if&gt;</w:t>
      </w:r>
    </w:p>
    <w:p>
      <w:r>
        <w:rPr>
          <w:b/>
        </w:rPr>
        <w:t>E. 8.1</w:t>
      </w:r>
    </w:p>
    <w:p>
      <w:r>
        <w:t>À teneur de l'art. 136 al. 1 CPP – qui concrétise la garantie tirée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![endif]&gt;![if&gt;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w:t>
      </w:r>
    </w:p>
    <w:p>
      <w:r>
        <w:rPr>
          <w:b/>
        </w:rPr>
        <w:t>E. 8.2</w:t>
      </w:r>
    </w:p>
    <w:p>
      <w:r>
        <w:t>En l'espèce, l'indigence de la recourante a été constatée par le Service de l'assistance juridique. Cela étant, la cause était d'emblée vouée à l'échec, les démarches de l'intéressée étant, pour les raisons exposées ci-dessus, juridiquement infondées. Dans ces circonstances, sa requête ne peut qu'être rejetée.</w:t>
      </w:r>
    </w:p>
    <w:p>
      <w:r>
        <w:rPr>
          <w:b/>
        </w:rPr>
        <w:t>E. 9</w:t>
      </w:r>
    </w:p>
    <w:p>
      <w:r>
        <w:t>La recourante, qui succombe, supportera les frais envers l'État, qui seront fixés en totalité à CHF 600.- pour tenir compte de sa situation financière (art. 428 al. 1 CPP et 13 al. 1 du Règlement fixant le tarif des frais en matière pénale, RTFMP ; E 4 10.03).![endif]&gt;![if&gt;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