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P/13295/2017 vom 29. November 2023</w:t>
      </w:r>
    </w:p>
    <w:p>
      <w:r>
        <w:t>GE Cour de justice, 2023-11-29, FR</w:t>
      </w:r>
    </w:p>
    <w:p>
      <w:r>
        <w:rPr>
          <w:b/>
        </w:rPr>
        <w:t xml:space="preserve">Quelle: </w:t>
      </w:r>
      <w:r>
        <w:t>https://mcp.opencaselaw.ch/entscheid/ge_gerichte_P_13295_2017</w:t>
      </w:r>
    </w:p>
    <w:p>
      <w:r>
        <w:t>FR: GE_GERICHTE P/13295/2017 du 29 novembre 2023</w:t>
      </w:r>
    </w:p>
    <w:p>
      <w:r>
        <w:t>IT: GE_GERICHTE P/13295/2017 del 29 novembre 2023</w:t>
      </w:r>
    </w:p>
    <w:p>
      <w:pPr>
        <w:pStyle w:val="Heading2"/>
      </w:pPr>
      <w:r>
        <w:t>Regeste</w:t>
      </w:r>
    </w:p>
    <w:p>
      <w:r>
        <w:t>DÉPOSITIONS DES PARTIES;VIOLATION DU DEVOIR D'ASSISTANCE OU D'ÉDUCATION;VIOL;PRESSION | CP.219; CP.190; CPP.10</w:t>
      </w:r>
    </w:p>
    <w:p>
      <w:pPr>
        <w:pStyle w:val="Heading2"/>
      </w:pPr>
      <w:r>
        <w:t>Erwägungen</w:t>
      </w:r>
    </w:p>
    <w:p>
      <w:r>
        <w:rPr>
          <w:b/>
        </w:rPr>
        <w:t>E. 1</w:t>
      </w:r>
    </w:p>
    <w:p>
      <w:r>
        <w:t>L'appel de A______ est recevable pour avoir été interjeté et motivé selon la forme et dans les délais prescrits (art. 398 et 399 du Code de procédure pénale [CPP]). Il en va de même de l'appel joint du MP (art. 400 al. 3 let. b et 401 CPP). En revanche, dans la mesure où C______, après l'avoir annoncé, n'a pas produit de déclaration d'appel ni déclaré se rétracter dans le délai légal de 20 jours suivant la notification du jugement motivé, son appel est irrecevable (art. 399 al. 3 CPP et 403 al. 1 let. a et al. 2 CPP). La Chambre de céans limite son examen aux violations décrites dans les actes d'appel et d'appel-joint (art. 404 al. 1 CPP), sauf en cas de décisions illégales ou inéquitables (art. 404 al. 2 CPP).</w:t>
      </w:r>
    </w:p>
    <w:p>
      <w:r>
        <w:rPr>
          <w:b/>
        </w:rPr>
        <w:t>E. 2</w:t>
      </w:r>
    </w:p>
    <w:p>
      <w:r>
        <w:t>2.1.1. Selon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108 IV 145 consid. 3). 2.1.2. À teneur de l'art. 7 al. 1 let. a CP, il l'est également à quiconque commet un crime ou un délit à l'étranger, sans que ne soient réalisées les conditions prévues aux art. 4, 5 ou 6, si l'acte est aussi réprimé dans l'État où il a été commis ou que le lieu de commission de l'acte ne relève d'aucune juridiction pénale. Cette disposition ne s'applique que lorsque l'auteur ou la victime sont des ressortissants suisses (art. 7 al. 2 CP a contrario).</w:t>
      </w:r>
    </w:p>
    <w:p>
      <w:r>
        <w:rPr>
          <w:b/>
        </w:rPr>
        <w:t>E. 2.2</w:t>
      </w:r>
    </w:p>
    <w:p>
      <w:r>
        <w:t>En l'espèce, en présence de domiciles distincts et de nationalités étrangères pour l'appelant, C______ et G______ durant la période pénale, le TCO a opéré une appréciation des faits pour déterminer leur lieu de commission, retenant, notamment, des éléments périphériques tels que la présence du fils de l'appelant comme indice de rattachement territorial à la France, tandis qu'il a relié à la Suisse l'existence de volets aux fenêtres ainsi que les événements de la vie scolaire. Cette sélection pour fonder la compétence des tribunaux suisses est adéquate, dans la mesure où les plaignantes font état de violences qui se seraient produites tant en France qu'en Suisse. Par ailleurs, les arguments soulevés par la défense ne permettent pas d'exclure toute compétence helvétique. Ainsi, c'est en vain que l'appelant tente d'écarter l'épisode du T-shirt supplémentaire emporté par G______, arguant que la prise d'habits est précisément l'apanage des week-ends passés hors de la résidence habituelle. En effet, selon les dires de G______, appuyés par ceux de sa mère, elle avait emporté ce vêtement en allant à l'école pour s'y changer, car elle n'aimait pas l'habit que sa mère avait choisi pour elle (B – 26). La défense a encore relevé que C______ avait indiqué que sa fille s'était faite corrigée avec le " bâton " pour cette bêtise (E – 15). Outre le fait qu'il ressort que l'intimée n'était pas certaine de ses allégations (" je crois "), cet argument est balayé par les déclarations de G______ faisant état de coups de ceinture (B – 35). Par ailleurs, elle a indiqué avoir été punie après que son père avait surpris, en rentrant, les réprimandes qu'elle recevait de sa mère à cet égard. Or, seul l'appelant avait un libre accès au domicile des intimées, ce que ce dernier a confirmé en soutenant qu'une clé avait été dissimulée à cette fin, à l'inverse de C______ qui allègue avoir eu l'interdiction de se rendre chez lui en son absence. La défense n'a en outre jamais allégué le contraire. Pour tous ces motifs, la Cour tient pour établi que cette punition s'est déroulée chez les plaignantes. Il en va de même lorsque G______ a dû se rendre à l'école (B – 71), ou au centre de loisirs selon sa mère (E – 15), avec la langue fendue immédiatement après avoir reçu le coup de pied au visage. Par ailleurs, les rituels de punition avec clôture des volets ne peuvent s'être produits qu'au domicile suisse, seul logement pourvu d'une telle installation. Enfin, contrairement à sa mère, G______ n'a jamais allégué que les coups de ceinture ne se produisaient qu'en Suisse ; elle a au contraire indiqué qu'à trois reprises, en France, son père n'avait pas trouvé cet accessoire, raison pour laquelle il l'avait frappée avec un " bâton ". Il y a donc lieu d'admettre que le premier objet était utilisé dans les deux logements. Au vu de ce qui précède, il est établi que les faits ne se sont pas exclusivement déroulés en France, au contraire. Une telle éventualité est au demeurant peu probable au regard du contexte général, d'une part, et des déclarations des plaignantes, d'autre part. Partant, la Chambre de céans considère que la compétence territoriale est acquise pour les faits qui n'ont pas été classés en première instance, étant relevé que nonobstant ses conclusions en annulation complète du jugement entrepris, le MP ne conteste en réalité pas ce classement, sur lequel il n’y a donc pas lieu de revenir.</w:t>
      </w:r>
    </w:p>
    <w:p>
      <w:r>
        <w:rPr>
          <w:b/>
        </w:rPr>
        <w:t>E. 3</w:t>
      </w:r>
    </w:p>
    <w:p>
      <w:r>
        <w:t>3.1.1. 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3.1.2. En tant que règle sur le fardeau de la preuve, la présomption d'innocence implique qu'au stade du jugement, ce fardeau incombe à l'accusation et que le doute doit profiter au prévenu (arrêts du Tribunal fédéral 6B_519/2018 du 29 août 2018 consid. 3.1 ; 6B_377/2018 du 22 août 2018 consid. 1.1). En tant que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3.1.3.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d'ailleurs fonder sa condamnation sur ses seules déclarations (arrêts du Tribunal fédéral 6B_626/2010 du 25 novembre 2010 consid. 2.2 ; 1P.677/2003 du 19 août 2004 consid. 3.3 ;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la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arrêts du Tribunal fédéral 6B_28/2013 du 13 juin 2013 consid. 1.2 et 6B_429/2008 du 7 novembre 2008 consid. 4.2.3). En outre,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(147 IV 409 consid. 5.4.1). De surcroît, en présence d'actes répétés commis dans la cellule familiale, on ne peut pas exiger de la victime un inventaire détaillant chaque cas (arrêt du Tribunal fédéral 6B_1498/2020 du 29 novembre 2021 consid. 2.4). 3.2.1. Aux termes de l'art. 123 ch.1 al. 1 CP, quiconque, intentionnellement, aura fait subir à une personne une autre atteinte à l'intégrité corporelle ou à la santé sera, sur plainte, puni d'une peine privative de liberté de trois ans au plus ou d'une peine pécuniaire. 3.2.2.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 À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3.2.3. L'art. 123 ch. 2 CP érige en circonstance aggravante notamment les lésions corporelles simples commises sur un enfant dont l'auteur à la garde ou sur lequel il avait le devoir de veiller ainsi que celles provoquées par l'utilisation d'une arme ou d'un objet dangereux. 3.3.1. Selon l'art. 180 al. 1 CP, quiconque, par une menace grave, aura alarmé ou effrayé une personne sera, sur plainte, puni d'une peine privative de liberté de trois ans au plus ou d'une peine pécuniaire. 3.3.2.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3.4.1. Selon l'art. 189 al. 1 CP, quiconque,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3.4.2.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 77 IV 169 consid. 1 ; arrêt du Tribunal fédéral 6B_206/2015 du 8 octobre 2015 consid. 1.2). L'éjaculation n'est pas nécessaire (ATF 123 IV 49 consid. 2). Une pénétration du membre viril jusqu'à l'entrée du vagin est suffisante pour être considérée comme un acte sexuel (ATF 77 IV 169 consid. 1 ; arrêt du Tribunal fédéral 6B_206/2015 du 8 octobre 2015 consid. 1.2). 3.4.3.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 118 IV 52 consid. 2b ; arrêts du Tribunal fédéral 6B_1260/2019 consid. 2.2.2 ; 6B_145/2019 du 28 août 2019 consid. 3.2.3 ; 6B_95/2015 du 25 janvier 2016 consid. 5.1 ; 6B_1149/2014 du 16 juillet 2015 consid. 5.1.3). 3.4.4. En introduisant la notion de " pressions psychiques ", le législateur a voulu viser les cas où la victime se trouve dans une situation sans espoir, sans pour autant que l'auteur ait recouru à la force physique ou à la violence (ATF 131 IV 107 consid. 2.2 ; 128 IV 106 consid. 3a/bb ; 122 IV 97 consid. 2b). Les pressions d'ordre psychique visent les cas où l'auteur provoque chez la victime des effets d'ordre psychique, tels que la surprise, la frayeur ou le sentiment d'une situation sans espoir, propres à la faire céder (ATF 128 IV 106 consid. 3a/bb ;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 ATF 128 IV 97 consid. 2b/aa et cc ; arrêt du Tribunal fédéral 6B_583/2017 du 20 décembre 2017 consid. 3.1).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Par exemple, un climat de psycho-terreur entre époux peut, même sans violence, exercer une influence telle sur la volonté que la victime estime, de manière compréhensible, qu'elle n'a pas de possibilité réelle de résister (ATF 126 IV 124 consid. 3b et c).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3.4.5.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 déduit d'une analyse des circonstances permettant de tirer, sur la base des éléments extérieurs, des déductions sur les dispositions intérieures de l'auteur (arrêt du Tribunal fédéral 6B_267/2016 du 15 février 2017 consid. 5.2). Il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3.5.1. L'art. 219 al. 1 CP punit d'une peine privative de liberté de trois ans au plus ou d'une peine pécuniaire quiconque aura violé son devoir d'assister ou d'élever une personne mineure dont il aura ainsi mis en danger le développement physique ou psychique, ou qui aura manqué à ce devoir. 3.5.2. Pour que cette disposition soit applicable, il faut d'abord que l'auteur ait eu envers une personne mineure un devoir d'assistance, c'est-à-dire de protection, ou un devoir d'éducation, soit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 même s'ils sont séparés de fait, leur obligation d'éducation ou d'assistance subsiste (arrêt du Tribunal fédéral 6B_457/2012 du 29 octobre 2013 consid. 1.1.2). 3.5.3.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 3.5.4. Il faut encore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3.5.5. Enfin, la réalisation de l’infraction suppose l’existence d’un lien de causalité entre la violation du devoir d’assistance ou d’éducation et la mise en danger du développement physique ou psychique du mineur (M. DUPUIS / L. MOREILLON / C. PIGUET / S. BERGER / M. MAZOU / V. RODIGARI [éds], Code pénal - Petit commentaire, 2ème éd., Bâle 2017, n. 3 ad art. 219 CP). 3.5.6.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3.5.7. Du point de vue subjectif, l’auteur peut avoir agi intentionnellement, auquel cas le dol éventuel suffit, ou par négligence (art. 219 al. 2 CP). 3.5.8. Le Tribunal fédéral a admis que les lésions corporelles simples qualifiées et la violation du devoir d'assistance ou d'éducation soient appliquées en concours, lorsque la maltraitance d'un enfant d'une certaine durée et d'une certaine intensité porte non seulement atteinte à son intégrité physique et mentale, mais également à son développement physique et psychique (arrêt du Tribunal fédéral 6S.273/2004 du 24 septembre 2004 ; arrêt du Tribunal fédéral 6B_498/2008 du 18 août 2008 consid. 3.3). G______ 3.6.1. En l'espèce, la Cour retient que les déclarations faites par G______ sont dignes de foi, tandis que les explications livrées par l'appelant au gré de la procédure sont dénuées de force probante. En effet, le récit de l’enfant est très précis et riche en détails (notamment quant à la nature des objets utilisés ou des postures à tenir, l'unique coup de pied au visage, le pliage de la ceinture, la fermeture des rideaux ou des volets, la durée et les causes des punitions). Elle décrit les douleurs ressenties mais également ses émotions (tristesse, colère, culpabilité et perte d'appétit), ainsi que les conséquences matérielles des coups reçus (traits noirs, parfois sanguinolents, langue coupée). Elle est demeurée mesurée et constante dans son propos devant ses différents interlocuteurs. Elle a maintenu ses allégations malgré le temps écoulé, la perte de sa famille, la culpabilité, la crainte de représailles, son hospitalisation et son placement en foyer. Aucun bénéfice secondaire ne peut être décelé chez elle, étant souligné qu'elle a répété aimer son père et ne pas lui souhaiter d'ennuis. Par ailleurs, l'expertise de crédibilité retient un score particulièrement élevé, soulignant notamment que l'enfant avait su précisément décrire et contextualiser les événements, tout en ayant résisté à plusieurs reprises aux questions directives ou suggestives et admis spontanément ne pas connaitre la réponse ou l'avoir oubliée, de sorte qu'elle n'avait pas donné l'impression de vouloir satisfaire à tout prix l'adulte. En outre, aucune forme de pression ou de coercition n'avait été relevée. C'est en vain que l'appelant tente de la remettre en question. Il n’y a pas lieu de considérer que le résultat de l’expertise serait biaisé du fait que l'experte n'avait pas eu connaissance de la procédure de 2014. En effet, sa mission portait sur le contenu d'une audition précise, concentrée de surcroit sur les maltraitances vécues par G______, par opposition à ses précédentes déclarations qui n'en faisaient alors pas état. L'évaluation a en outre été exécutée selon les standards professionnels reconnus par la doctrine et la jurisprudence (cf. ATF 129 I 49 consid. 5 ; 128 I 81 consid. 2). Cette expertise n'étant toutefois qu'un élément probant parmi d'autre, la Chambre de céans relève que la crédibilité générale de l'enfant se fonde également sur les autres éléments décrits ci-après. La procédure de 2014, nonobstant l'écoulement du temps depuis lors, constitue un indice fort en faveur de la crédibilité de l'enfant, étant précisé que la rétractation et la condamnation de sa mère ne suffisent pas à retenir que les allégations faites à l'époque étaient infondées et mensongères, un tel comportement n'étant pas inhabituel pour une victime. En effet, à cette occasion déjà, l’enfant avait fait part du comportement violent de son père. Elle n'en avait d'ailleurs pas rajouté, indiquant ne pas être elle-même victime de maltraitances et circonscrivant le discours autour de sa mère avec prudence et honnêteté (" des fois il prend sa ceinture, des fois y prend pas (…) des fois y prend sa ceinture et y n'tape pas ma maman "; " j'entends des bruits de ceinture et ma maman elle crie " (…) ; " elle a parlé à ses copines de ça " C – 434 s.). La procédure y relative ayant été rapidement classée, ses confidences n'avaient suscité aucune prise en charge supplémentaire. Une pollution du discours n'est donc pas établie à ce stade. En 2017, elle s'est ouverte des mauvais traitements qu'elle subissait à titre personnel à son amie, puis à sa maitresse, parce qu'elle " en avait eu marre ", entamant ainsi une démarche qui lui est propre. Qu'elle ait pu relater que ses interlocuteurs l'avaient confortée dans le fait qu'elle ne devait pas être punie de la sorte ne permet pas non plus de retenir qu'elle ait été influencée, car ce sont bien ses propos qui ont appelé cette réaction. Elle n'apparait pas non plus avoir été instrumentalisée par sa mère puisqu'il ressort de ses déclarations successives que celle-ci tentait de la réconforter lorsqu'elle soignait ses plaies, lui expliquant que la situation allait s'arranger, l'encourageant à rester passive et à ne plus faire de bêtises (B – 56). De plus, si sa mère avait initié la précédente procédure pénale, elle n'a en revanche eu aucune maitrise sur la présente cause dans laquelle elle s'est retrouvée attraite, en qualité de prévenue de surcroit. La mère a par ailleurs été très réticente à désavouer le père de son enfant, comme il ressort de ses premières déclarations, intervenues après l'audition EVIG de G______. De plus, l'enfant a été peu demandeuse de contacts avec sa mère (B – 13.1 s.) avant d'être entendue sept jours après son hospitalisation. Enfin, il n'est pas non plus établi que les antagonismes opposant la grand-mère maternelle à l'appelant l'aient influencée, G______ étant restée prudente dans ses propos et détachée du conflit. Les photographies et le constat médical faits immédiatement après les premières révélations de l'enfant viennent également corroborer ses dires. Il importe peu de savoir si l'une des cicatrices à l'épaule doit être attribuée à un accident de moto plutôt qu'à un coup de ceinture dans la mesure où les autres lésions, nombreuses et singulières, demeurent compatibles avec les maltraitances décrites. Elles ont de plus la particularité d'être relativement linéaires, ce qui n'est pas sans rappeler les propos de la victime relatant que la ceinture laissait sur sa peau des " traits noirs ", parfois sanguinolents. Ces similitudes permettent d'accorder peu de crédit aux explications de l'appelant qui y voit des blessures faites à l'école, étant de plus souligné que des lésions laissant de telles cicatrices dépassent la simple écorchure ou griffure de jeu et auraient vraisemblablement fait l’objet d’une intervention de l’entourage scolaire. Enfin, leur forme concorde avec celle des cicatrices constatées sur sa petite sœur. À cela s'ajoute le fait que l'expertise familiale, diligentée dans le cadre de la procédure civile, a relevé chez l'enfant un état de stress post-traumatique en lien avec les maltraitances subies. Que son pédiatre habituel n'ait jamais constaté la moindre lésion corporelle ne suffit pas à écarter la réalité des mauvais traitements, dès lors qu'il peut ne pas en avoir eu l'opportunité, étant principalement intervenu pour les suivis des vaccins et du bilan neuropédiatrique et n’ayant pas à examiner le corps dénudé d’une enfant dans un tel contexte. Enfin, le fait que sa mère et sa sœur aient décrit un vécu commun achève de convaincre, étant précisé que la mère a confirmé dans une large mesure les châtiments subis par sa fille. Ainsi, rien ne permet de remettre en doute la parole de G______ et il existe bien un faisceau d'indices suffisamment convergents qui amène à la confirmation du verdict de culpabilité de l'appelant du chef lésions corporelles simples aggravées. Partant, le jugement sera confirmé sur ce point. 3.6.2. Non spécifiquement plaidé par la défense, il en ira de même du verdict de culpabilité pour la violation d'un devoir d'assistance et d'éducation. En effet, c'est à bon droit que les premiers juges ont retenu que la durée et l'intensité des sévices subis ont concrètement mis en danger le développement de G______, caractérisé par un retard dans les acquisitions scolaires, une lenteur psychomotrice, des symptômes invasifs et un état de stress post-traumatique. En outre, celle-ci a été régulièrement – bien qu'indirectement – confrontée aux violences faites sur sa mère, ce dont elle a témoigné à plusieurs reprises et qui sont établies à teneur du dossier, comme il sera développé ci-après (cf. infra 3.8.1. ). Elle savait de surcroit que sa mère ne pourrait s'interposer en sa faveur avec succès au vu de l'ascendant que l'appelant avait sur cette dernière. Ainsi, elle baignait dans un climat de peur et de violence permanent. Enfin, l'appelant ne pouvait ignorer que ses actes étaient propres à porter atteinte à la bonne croissance de G______. L'appel sera rejeté sur ce point également. E______ 3.7.1. E______ s'est certes peu exprimée dans le cadre de la procédure. Il en ressort toutefois qu'elle s'est spontanément confiée à l'infirmier scolaire, ainsi que dans le cadre de l'expertise familiale où elle s'est immédiatement tétanisée après avoir avoué faire l'objet de maltraitances au même titre que sa mère et sa sœur. En outre, si elle a refusé de parler durant son audition EVIG, elle s'en est félicitée, ce qui est singulier. Par ailleurs, G______ a rencontré beaucoup de difficultés à confier que sa sœur subissait aussi des mauvais traitements : lors de son audition EVIG, elle les a d'abord niés entre deux gémissements, avant de révéler que E______ s'en était ouverte à elle (B – 68), rapportant l'épisode impliquant un camarade de classe qu'elle avait tapé (B – 76). La mère n'a, en revanche, rapporté que de fessées. Cela étant, la concordance entre les cicatrices de E______ et celles de G______ ne laisse planer aucun doute quant au fait que la petite fille a aussi reçu des coups de ceinture ; l'appelant n'a d'ailleurs pas offert la même explication quant à leur supposée origine, invoquant notamment un coup de ciseau à l'école qui l'aurait blessée au bras gauche. Or, ces lésions ont derechef été jugées compatibles avec les dires de l'enfant, étant relevé que là également, un incident aussi grave à l’école aurait été documenté et connu ; or, le constat médical établi dans le contexte scolaire n’en dit rien, ce qui achève de décrédibiliser l’appelant. Le comportement de l'enfant trahit également un certain mal-être : la directrice de son école a été la première à rapporter qu'elle était agressive et souvent en colère et ce avant même le début de la présente cause. En sus d'un syndrome d'état de stress post-traumatique, E______ a notamment été diagnostiquée d'un trouble de l'adaptation avec difficultés émotionnelles. Enfin, l'on ne décèle aucun bénéfice secondaire chez l'enfant, bien au contraire : son refus de s'exprimer à la police et ses inquiétudes concernant une potentielle incarcération de son père dénotent d'une volonté de le protéger. Au vu de ce qui précède, les dénégations de l'appelant n'emportent derechef pas conviction, de sorte que le verdict de lésions corporelles simples aggravées sera confirmé et l'appel rejeté. 3.7.2. Si E______ a été moins châtiée que G______, il n'en demeure pas moins que ces corrections l'ont profondément marquée, au même titre que les violences auxquelles elle a été confrontée, comme en témoignent son état de stress post-traumatique ainsi que ses nombreuses séquelles d'ordre psychique (sidération réactionnelle, anxiété, angoisses, peur du noir, trouble de l'adaptation avec difficultés émotionnelles et comportementales, notamment). En outre, elle s'est beaucoup culpabilisée d'avoir accepté de rapporter à son père les faits et gestes de sa sœur pour s'éviter des coups (F-143.1). E______ a vécu dans ce climat de peur et de violence délétère durant ses plus jeunes années, ce qui a impacté son bon développement ; en effet, les médecins et spécialistes ont relié ses difficultés comportementales avec son vécu à la maison, attestant de qu'elle était devenue plus gérable depuis son hospitalisation (C – 330 s.). Les actes de l'appelant ont ainsi concrètement mis en danger la croissance de celle qu'il considérait comme sa fille et envers laquelle il avait une position de garant au vu de la situation de fait. Il ne pouvait au demeurant ignorer qu’en agissant de la sorte, il portait atteinte à son bon développement physique et psychique. Au vu de ce qui précède, l'appelant sera reconnu coupable de violation d'un devoir d'assistance et d'éducation envers E______. L'appel joint sera admis et le jugement réformé dans ce sens. C______ 3.8.1. L’appelant, avec les premiers juges, nie toute crédibilité aux propos de la plaignante. Or la condamnation de l'intimée en 2014 pour dénonciation calomnieuse n’entache pas la crédibilité de ses déclarations faites dans la présente cause. En effet, les rétractations ne sont pas insolites chez les victimes. En outre, et surtout, la présente procédure n'est pas de son fait, d'une part, et sa posture initiale a été de protéger l'appelant et non de saisir immédiatement la première opportunité de lui nuire, d'autre part. Le fait que la condamnation ait été prononcée sans tenir compte des propos de la fille des parties, qui confirmaient largement les actes dénoncés par sa mère, laisse songeur. Ces indices doivent être appréciés en sa faveur ; s’y ajoute le déséquilibre entre l’intimée, en personne, et l’appelant, qui était à l’époque assisté d’un avocat, tous éléments qui conduisent à relativiser fortement le poids de cette condamnation. Si l'intimée peut sembler avoir varié dans ses déclarations relatives aux objets utilisés pour la frapper, l'attacher ou la contraindre, elle en avait déjà fait état en grande partie en 2014 ; il n'y a donc pas d'exagération crasse qui suffirait à la discréditer à ce stade. De plus, son explication s'agissant de l'utilisation du mot fouet pour une acception plus large doit être concédée compte tenu du contexte, dès lors que ces objets étaient utilisés pour la fouetter (E – 60). Le TCO a encore relevé que les propos de la plaignante relatifs à l'intensité des maltraitances physiques avaient été contradictoires, dans la mesure où elle avait affirmé qu'elles avaient diminué après 2014 tout en restant régulières (E – 20 ; E – 34), avant de revenir sur ce point en fin d'instruction en décrivant des scènes de plus de quatre heures. Or, il appert à la lecture desdites déclarations que les premiers juges ont fait un amalgame entre la fréquence des coups – laquelle a diminué en raison du classement de la première plainte et du stage de l'appelant – et leur intensité – qui n'a cessé de croitre. Il n'y a donc pas de contradiction grossière sur ce point non plus, étant précisé que l'intimée a toujours allégué que les violences s'inscrivaient dans une durée allant de 30 minutes à une après-midi entière. Ainsi, rien ne permet de remettre fondamentalement en doute la parole de l'intimée. À cela s'ajoutent plusieurs éléments venant corroborer ses propos. Il ressort en effet des témoignages de G______, ainsi que, dans une moindre mesure, de celui de E______, que l'appelant battait l'intimée. Les parties plaignantes ont partagé un climat de terreur et de violences commun, chacune n'étant pas sans ignorer ce que l'autre subissait. Plusieurs similitudes se retrouvent en outre dans leurs propos : l'utilisation de différents objets parfois identiques (ceinture, bâton), la gradation de la violence, la durée de châtiment pouvant être assez longue, la volonté de l'appelant de cacher les faits de l'extérieur (en fermant les rideaux ou les volets pour l'une, en allumant la télévision et/ou en bâillonnant sa victime pour l'autre), et la loi qu'il dictait, notamment. Cela étant, si les cicatrices figurant au tableau lésionnel ne peuvent être rattachées avec certitude à l’un ou l’autre coup reçu durant la période pénale, elles doivent être cependant appréciées comme un indice corroboratif. En outre, le fait que les plaies ne soient pas toutes de forme identique à celles retrouvées sur le corps de ses filles peut s'expliquer du fait qu'elle ait été frappée avec d'autres objets que la ceinture et le bâton, objets qui n'ont selon toute vraisemblance pas été utilisés sur les enfants. Au vu de ce qui précède, la CPAR a l'intime conviction que l'appelant s'est rendu coupable de lésions corporelles simples envers son ex-compagne. Il n'est au demeurant pas contesté que de tels mauvais traitements sont propres à entrainer des stigmates tels que constatés, étant précisé que l’intimée a également allégué qu'elle ne s'était parfois pas rendue au travail en raison des violences subies. L'appel joint sera également admis sur ce point et le verdict modifié en conséquence. 3.8.2. À titre liminaire, s'il ressort de la procédure de 2014 que l'intimée avait déjà dénoncé faire l'objet de menaces et qu'il est vraisemblable, au regard du contexte général de violences dans lequel l'intimée était plongée, que ces faits se soient produits et n'aient point cessé avec le temps, la Cour rappelle qu'elle est tenue par la maxime d'accusation de sorte que seuls peuvent être considérés ceux décrits par le MP, lequel n'a retenu qu'une période pénale de deux mois, soit du 21 mars 2017 au 24 mai 2017. Or, la procédure ne fait état d'aucun élément permettant d'objectiver la commission de l'infraction, qui plus est à réitérées reprises, dans cet intervalle aussi court que spécifique. L'appel joint sera rejeté sur ce point. 3.8.3. L'intimée a allégué avoir subi plusieurs contraintes sexuelles, soit des sodomies forcées où elle était pieds et poings liée, faits dont elle s'était déjà plainte en 2014. Cette première procédure avait été classée à la suite de sa rétractation, l'intimée alléguant que les sodomies avaient été consenties, ce qui n'avait suscité aucune réaction de l'appelant à l'époque. Cependant, dans la présente cause, il a décrié avec véhémence cette pratique, indiquant ne pas se reconnaitre en elle, de sorte qu'aucune crédibilité ne peut être accordée à ses dénégations. Si la Cour est convaincue de l'existence de ces faits, elle éprouve des difficultés à retenir qu'ils se soient produits dans le cadre de la présente cause, en raison des écueils déjà soulevés en première instance, soit que l'intimée a déclaré en début d'instruction ne plus avoir été sodomisée depuis 2014 (B – 96), d'une part, et que l'épisode décrit très précisément – survenu selon ses dires à Q______ [GE] – l'avait particulièrement marquée car c'était sa première fois (E – 60), ce qui est incompatible d'un point de vue temporel avec la période retenue dans l’acte d’accusation (entre le début de l'année 2015 et le 24 mai 2017), d'autre part. Or, l'acte d'accusation ne retient que cette seule occurrence. Au vu de ce qui précède, l'acquittement de l'appelant sera confirmé et l'appel-joint rejeté sur ce point. 3.8.4. En ce qui concerne les actes sexuels non consentis, les arguments soulevés par la défense ne suffisent pas à décrédibiliser les déclarations de l'intimée. En effet, qu'elle ait admis avoir eu une relation intime consentie avant son audition à la police ne permet pas de retenir que tous les précédents rapports l'avaient été. En outre, l'intimée a soutenu de manière constante qu'il lui avait fallu du temps pour se rendre compte que la situation vécue n'était pas normale d'une part, et qu'elle avait distingué surtout les actes sexuels qui se produisaient dans la violence des autres cas dans lesquels elle avait bien voulu céder, ce qu'elle a d'ailleurs répété à l'audience de jugement. Ceci explique également qu'elle n'en ait pas fait état dans sa plainte de 2014. Il appert ainsi que sa notion de consentement était biaisée. Par surabondance, force est de constater qu'elle a admis à l'audience de jugement que le rapport " consenti " l'avait été car " elle suivait le rythme ", ce qui reflète aussi l'emprise sous laquelle elle se trouvait. Ainsi, il n'y a donc pas de contradiction flagrante dans ses propos. Les premiers juges ont écarté l'emprise psychologique et le climat de terreur permanent constitutifs de violence structurelle au motif que l'intimée disposait de son propre logement, qu'elle avait un travail, des proches et bénéficiait de l'encadrement des autorités dont le SPMi. Or, l'intimée avait déjà sollicité l'aide étatique en 2014 avant d'être poussée à retirer sa plainte pénale, l’appelant l’ayant retrouvée dans le foyer où elle s’était réfugiée, ce qui démontre l'emprise de l'appelant et l’impuissance des autorités à la protéger ; loin d'être rassurée et encadrée par l'institution, elle a de surcroit essuyé une condamnation. La sœur de l'intimée a également témoigné de ses efforts vains pour l'encourager à sortir de la domination de l'appelant. L'intimée pouvait effectivement se sentir piégée dans une situation sans issue : elle a décrit un climat de psycho-terreur où elle se sentait constamment surveillée, sachant que l'appelant, décrit comme omniscient, finirait toujours par la retrouver (ce qu’il a fait) et qu'à la moindre contrariété la violence se répercuterait sur elle si ce n'était directement sur ses filles. Le fait de se plier au moindre de ses désirs et de se sacrifier pour protéger autant que possible ses enfants apparaît crédible dans ce contexte. Le schéma de violences intrafamiliales dans lequel elle et ses filles étaient plongées rend compréhensible le fait qu'elle ait souvent préféré se soumettre à l'acte sexuel, ce d'autant plus qu'il signait vraisemblablement la fin de ses tourments. Dans la mesure où par ailleurs les violences physiques ont été établies et qu'il n'y a aucune raison de remettre en doute la description du rituel punitif, l'intimée ayant répété de manière constante avoir été la plupart du temps attachée et en culotte durant les sévices – la matière des liens ou le type d'objet utilisé important finalement peu –, les actes sexuels qui se produisaient dans ce cadre sont sans équivoque constitutifs de viols, l'intimée ne pouvant être disposée, après son passage à tabac, à entretenir des rapports consentis. Ce nonobstant, la Cour ne retiendra pas la fréquence indiquée par l'acte d'accusation dans la mesure où il ne peut être démontré que toutes ces occurrences se sont déroulées sur sol suisse – hormis l'épisode des bottes et du canapé-lit suffisamment décrit et contextualisé par la plaignante –, ce dont il sera également tenu compte au niveau de la peine. En outre, les menaces ayant été écartées, ce moyen de contrainte doit l'être également. Au vu de ce qui précède, l'appelant sera reconnu coupable de viols commis à réitérées reprises.</w:t>
      </w:r>
    </w:p>
    <w:p>
      <w:r>
        <w:rPr>
          <w:b/>
        </w:rPr>
        <w:t>E. 4.1</w:t>
      </w:r>
    </w:p>
    <w:p>
      <w:r>
        <w:t>Le viol est réprimé d'une peine privative de liberté allant de un à dix ans (art. 190 al. 1 CP), les lésions corporelles simples aggravées sont sanctionnées d'une peine pécuniaire ou d'une peine privative de liberté allant jusqu'à trois ans (art. 123 ch. 1 et 2 CP) de même que la violation du devoir d'assistance ou d'éducation (art. 219 al. 1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Les faits ont été commis avant la modification du droit des sanctions au 1 er janvier 2018. Le nouveau droit n'étant pas plus favorable au condamné, il sera fait application du droit en vigueur au moment des faits. 4.2.3. Conformément à l'art. 34 aCP, la peine pécuniaire ne peut excéder 360 jours-amende, le juge fixant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4.2.4.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quant à lui que le juge peut suspendre partiellement l’exécution d’une peine pécuniaire, d’un travail d’intérêt général ou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L'art. 44 al. 1 aCP dispose que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4.2.5.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4.2.6. Aux termes de l'art. 51 aCP, le juge impute sur la peine la détention avant jugement subie par l'auteur dans le cadre de l'affaire qui vient d'être jugée ou d'une autre procédure. Un jour de détention correspond à un jour-amende (arrêt du Tribunal fédéral 6B_671/2016 du 17 mai 2017 consid. 1.3).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w:t>
      </w:r>
    </w:p>
    <w:p>
      <w:r>
        <w:rPr>
          <w:b/>
        </w:rPr>
        <w:t>E. 4.3</w:t>
      </w:r>
    </w:p>
    <w:p>
      <w:r>
        <w:t>En l'espèce, la faute de l'appelant est très lourde. Il s'en est pris au développement et à l'intégrité physique de ses filles, ainsi qu'à l'intégrité physique et sexuelle de leur mère, agissant à réitérées reprises sur une période pénale relativement longue. Son activité délictueuse a été particulièrement intense, étant précisé que seule l'intervention du SPMi, suite aux confidences de la fille aînée des parties, a permis de mettre fin à ses agissements, d'une part, et que la première procédure diligentée à son encontre n'a pas suffi à le dissuader, d'autre part. Ses mobiles sont éminemment égoïstes en tant qu'il a voulu asseoir son autorité toute-puissante et assouvir ses pulsions colériques et/ou sexuelles. Sa prise de conscience, à l'instar de sa collaboration, est nulle, l'appelant persistant à nier les faits et à se poser en victime. Sa situation personnelle n'explique en aucun cas ses actes. Il y a concours d'infractions, facteur aggravant de la peine. Son absence d'antécédent a en revanche un effet neutre sur celle-ci. La violation du principe de célérité étant établie par l'arrêt du 5 octobre 2022 rendu par la Chambre pénale de recours, il y a lieu de réduire la quotité de la peine prononcée. Non spécifiquement plaidée, la réduction d'un quart sera confirmée, laquelle apparait au demeurant proportionnée. Seront également imputés les 62 jours effectués au titre de détention avant jugement. Les mesures de substitution seront quant à elles prises en considération à hauteur de 138 jours, dès lors que leur impact est bien moindre à celui d'une privation de liberté, d'une part, et que la situation aurait été identique en leur absence, au vu du contexte de maltraitances infantiles et des décisions du TPAE, d'autre part. Contrairement au viol, les autres infractions commises peuvent être sanctionnées d'une peine pécuniaire qui apparait adéquate dans la mesure où l'appelant n'a pas commis de nouvelles infractions depuis plus de six ans, notamment. Les viols commis au préjudice de C______ appellent à eux seuls le prononcé d'une peine privative de liberté de quatre ans, ramenée à 36 mois après réduction d'un quart en réparation de la violation du principe de la célérité, étant rappelé que la CPAR n’est pas liée par les conclusions du MP (art. 391 al. 1 let. a et al. 2 a contrario CPP). Cette quotité tient adéquatement compte de la gravité de la faute de l'appelant, du fait qu'il n'est pas possible de déterminer avec certitude le nombre exact d'occurrences survenues en Suisse et, enfin, de l'écoulement du temps. Cette peine sera assortie du sursis partiel, la partie ferme étant fixée à neuf mois. Tous les autres délits retenus à l’encontre de l’appelant sont passibles d’une peine privative de liberté de trois ans au plus ou d’une peine pécuniaire. Ces infractions sont en outre d'égale gravité, étant toutes poursuivies d'office (art. 123 ch.1 et 2 et art. 219 CP). La peine de base doit être prononcée pour la violation du devoir d’assistance et d’éducation, subjectivement la plus grave. À teneur de l'acte d'accusation complété lors de l'audience de jugement, les violations répétées de ce devoir se sont étendues sur près de trois ans, avant l'hospitalisation des deux petites filles. Celles-ci ont été ensuite placées en foyer pendant plus de deux ans et présentent plusieurs troubles. Ces faits justifient dès lors une peine de base de 240 jours-amende. Cette peine doit être aggravée de 60 jours-amende (peine théorique de 90 jours-amende) par complexe de faits de lésions corporelles simples aggravées, ce qui porte le total au maximum légal de 360 jours-amende. Le montant du jour-amende sera fixé à CHF 30.-. La réduction susmentionnée liée à la violation du principe de célérité conduit à ramener cette peine à 270 jours-amende. Au vu du nombre d’infractions commises, de la longue période pénale et du faible éloignement géographie, l'appelant ayant allégué aux débats d'appel que son épouse avait croisé G______ dans le tram, la durée du délai d’épreuve sera fixée au maximum légal de cinq ans, afin de dissuader l'appelant de commettre de nouvelles infractions. Partant, l'appelant sera condamné à une peine privative de liberté de 36 mois avec sursis partiel, la partie ferme étant fixée à neuf mois, ainsi qu'à une peine pécuniaire de 270 jours-amende, sous déduction de 62 jours de détention avant jugement et de 138 unités pénales au titre de la prise en considération des mesures de substitution.</w:t>
      </w:r>
    </w:p>
    <w:p>
      <w:r>
        <w:rPr>
          <w:b/>
        </w:rPr>
        <w:t>E. 5</w:t>
      </w:r>
    </w:p>
    <w:p>
      <w:r>
        <w:t>5.1.1. Les dispositions sur l'expulsion ne s'appliquent qu'aux infractions commises à partir du 1 er octobre 2016. L'ensemble des antécédents – y compris les infractions commises avant le 1 er octobre 2016 et les antécédents de droit pénal des mineurs – peuvent être pris en considération dans l'examen des aspects pertinents pour la pesée des intérêts en application de l'art. 66abis CP (arrêts du Tribunal fédéral 6B_693/2020 du 18 janvier 2021 consid. 7.1.3 ; 6B_549/2019 du 29 mai 2019 consid. 2.3 ; 6B_594/2019 du 4 juillet 2019 consid. 2 ; AARP/185/2017 du 2 juin 2017 consid. 2.1 ; AARP/119/2017 du 20 mars 2017 consid. 4.1 ; AARP/179/2017 du 30 mai 2017 consid. 3.1.2). 5.1.2. Selon l'art. 66a al. 1 CP, le juge expulse un étranger du territoire suisse pour une durée de cinq à quinze ans s'il est reconnu coupable de l'une des infractions énumérées aux let. a à o, notamment en cas de viol (let. h). Le juge peut exceptionnellement renoncer à une expulsion lorsque celle-ci mettrait l'étranger dans une situation personnelle grave et que les intérêts publics à l'expulsion ne l'emportent pas sur l'intérêt privé de l'étranger à demeurer en Suisse (al. 2). 5.1.3. Pour définir la première condition cumulative, à savoir la " situation personnelle grave ", il convient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selon les critères définis à l'art. 58a al. 1 de la loi fédérale sur les étrangers et l'intégration (LEI),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tout comme le risque de récidive ou une délinquance récurrente (ATF 146 IV 105 consid. 3.4.1 ; 144 IV 332 consid. 3.3.1 et 3.3.2 ; arrêt du Tribunal fédéral 6B_45/2020 du 14 mars 2022 consid. 3.3.2). 5.1.4.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Un étranger peut s'en prévaloir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 du Tribunal fédéral 6B_364/2022 du 8 juin 2022 consid. 5.1). 5.2.1. L'inscription de l'expulsion dans le système d'information Schengen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 6B_834/2021 du 5 mai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 5.2.2. La mention d'une peine privative de liberté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5.3.1. En l'espèce, l'appelant a été condamné notamment pour des viols qui se sont produits entre 2015 et 2017 ; l'expulsion est donc obligatoire. L’appelant ne peut se prévaloir d’aucun cas de rigueur. En effet, hormis la présence en Suisse de sa fille juridique et de celle qu'il considère comme telle – sans pourtant avoir entamé les démarches idoines, lesquelles ne présentent aucune difficulté particulière –, l'appelant n'y a aucune attache. Les liens qu'il a avec ses filles sont de surcroit extrêmement lâches ; il est établi à teneur du dossier qu'il n'a plus jamais cherché à entrer en contact avec elles depuis une audience qui s'est tenue par-devant le TPAE, vraisemblablement en 2018. En outre, G______ sera bientôt majeure de sorte qu'elle pourra décider de manière autonome si elle entend renouer avec son père, ce qui ne semble toutefois pas être le cas au vu de l'angoisse qui l'habite encore. Enfin, tant l'intérêt public que l'intérêt privé des parties plaignantes commandent que l'expulsion soit prononcée pour une durée de dix ans. 5.3.2. Ce nonobstant, le principe de proportionnalité fait obstacle à l'extension de cette mesure à l'ensemble de l'espace Schengen, dès lors que l'appelant est domicilié et travaille en France, pays dans lequel deux de ses enfants ainsi que son épouse résident également.</w:t>
      </w:r>
    </w:p>
    <w:p>
      <w:r>
        <w:rPr>
          <w:b/>
        </w:rPr>
        <w:t>E. 6</w:t>
      </w:r>
    </w:p>
    <w:p>
      <w:r>
        <w:t>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 art. 391 al. 1 CPP). Elle peut revoir les points qui ne sont pas contestés, seulement si leur modification s'impose à la suite de l'admission de l'appel ou de l'appel joint (ATF 144 IV 383 consid. 1.1 et les références citées). En l’espèce, en l'absence de contestation des parties plaignantes, seules les conclusions civiles retenues par les premiers juges seront allouées. Il s’impose toutefois, compte tenu de l’admission de l’appel joint du MP sur la culpabilité, de renvoyer les parties plaignantes à agir au civil pour le surplus. Il n’y a pas lieu d’examiner leurs conclusions civiles, le MP, qui conclut à leur admission, n’ayant pas qualité pour les faire valoir à leur place.</w:t>
      </w:r>
    </w:p>
    <w:p>
      <w:r>
        <w:rPr>
          <w:b/>
        </w:rPr>
        <w:t>E. 7</w:t>
      </w:r>
    </w:p>
    <w:p>
      <w:r>
        <w:t>1. L'appel joint ayant été en grande partie admis, l'appelant, qui succombe, supportera les frais de la procédure envers l'État (art. 428 CPP), lesquels comprendront un émolument de jugement en CHF 3'000.-. Il ne se justifie en revanche pas de mettre une partie des frais à la charge de C______, son annonce d'appel n'ayant engendré aucune activité pour la Chambre de céans.</w:t>
      </w:r>
    </w:p>
    <w:p>
      <w:r>
        <w:rPr>
          <w:b/>
        </w:rPr>
        <w:t>E. 7.2</w:t>
      </w:r>
    </w:p>
    <w:p>
      <w:r>
        <w:t>En outre, il y a également lieu de revoir la répartition des frais de première instance, dès lors que l'appelant a été reconnu coupable de trois chefs d'accusation supplémentaires sur appel joint. Afin de tenir compte de la violation du principe de la célérité, seuls deux tiers des frais seront mis à sa charge (art. 428 al. 3 CP), émolument complémentaire de jugement en CHF 3'000.- compris.</w:t>
      </w:r>
    </w:p>
    <w:p>
      <w:r>
        <w:rPr>
          <w:b/>
        </w:rPr>
        <w:t>E. 8</w:t>
      </w:r>
    </w:p>
    <w:p>
      <w:r>
        <w:t>Vu le verdict de culpabilité, l'appelant sera débouté de ses conclusions en indemnisation (art. 429 CPP).</w:t>
      </w:r>
    </w:p>
    <w:p>
      <w:r>
        <w:rPr>
          <w:b/>
        </w:rPr>
        <w:t>E. 9</w:t>
      </w:r>
    </w:p>
    <w:p>
      <w:r>
        <w:t>9.1.1.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9.2.1. En l'espèce, seront retranchées de l'état de frais produit par M e B______, défenseure d'office de A______, la prise de connaissance du jugement de 45 minutes, de même que la rédaction de la requête en indemnisation de 30 minutes, ces activités étant inclues dans le forfait. La conférence client faite en duo avec la stagiaire sera écartée, l'assistance judiciaire n'ayant pas pour vocation la formation des stagiaires. Enfin, le temps de préparation de l'audience sera ramenée à dix heures ex aequo et bono. Il convient en outre de le compléter de quatre heures et 20 minutes pour la durée des débats d'appel, ainsi que d'une vacation stagiaire. Au vu de ce qui précède, la rémunération de M e B______ sera arrêtée à CHF 2'159.80, correspondant à une heure d'activité de cheffe d'étude au tarif de CHF 200.-/heure ainsi que 14 heures et 20 minutes d'activité de stagiaire au tarif de CHF 110.-/heure (CHF 1'576.65), plus la majoration forfaitaire de 10 % (CHF 177.65), l'équivalent de la TVA au taux de 7.7% (CHF 150.50), et une vacation de CHF 55.-. 9.2.2. Considéré globalement, l'état de frais produit par M e D______, conseil juridique gratuit de C______, satisfait les exigences légales et jurisprudentielles régissant l'assistance judiciaire gratuite en matière pénale. Il convient cependant de le compléter de la durée des débats d'appel. Partant, la rémunération de M e D______ sera arrêtée à CHF 4'615.70 correspondant à 17 heures et 5 minutes d'activité de cheffe d'étude au tarif de CHF 200.-/heure (CHF 3'416.65), plus la majoration forfaitaire de 20 % (CHF 683.35), l'équivalent de la TVA au taux de 7.7% (CHF 315.70), et une vacation de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