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P/13244/2021 vom 1. April 2022</w:t>
      </w:r>
    </w:p>
    <w:p>
      <w:r>
        <w:t>GE Cour de justice, 2022-04-01, FR</w:t>
      </w:r>
    </w:p>
    <w:p>
      <w:r>
        <w:rPr>
          <w:b/>
        </w:rPr>
        <w:t xml:space="preserve">Quelle: </w:t>
      </w:r>
      <w:r>
        <w:t>https://mcp.opencaselaw.ch/entscheid/ge_gerichte_P_13244_2021</w:t>
      </w:r>
    </w:p>
    <w:p>
      <w:r>
        <w:t>FR: GE_GERICHTE P/13244/2021 du 1 avril 2022</w:t>
      </w:r>
    </w:p>
    <w:p>
      <w:r>
        <w:t>IT: GE_GERICHTE P/13244/2021 del 1 aprile 2022</w:t>
      </w:r>
    </w:p>
    <w:p>
      <w:pPr>
        <w:pStyle w:val="Heading2"/>
      </w:pPr>
      <w:r>
        <w:t>Regeste</w:t>
      </w:r>
    </w:p>
    <w:p>
      <w:r>
        <w:t>RECEL;CARTE DE CRÉDIT | CP.286; CP.160; CP.172ter</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rejet de la question préjudicielle soulevée par l’appelant lors des débats d'appel est motivé comme suit.</w:t>
      </w:r>
    </w:p>
    <w:p>
      <w:r>
        <w:rPr>
          <w:b/>
        </w:rPr>
        <w:t>E. 2.1</w:t>
      </w:r>
    </w:p>
    <w:p>
      <w:r>
        <w:t>À teneur de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Le Ministère public peut à juste titre renoncer à des actes d'instructions jugés disproportionnés en rapport avec les intérêts en jeu (en l'espèce, des commissions rogatoires à l'étranger ; arrêt du Tribunal fédéral 1B_67/2012 du 29 mai 2012 consid. 3.2 ; ACPR/540/2012 du 28 novembre 2012).</w:t>
      </w:r>
    </w:p>
    <w:p>
      <w:r>
        <w:rPr>
          <w:b/>
        </w:rPr>
        <w:t>E. 2.2</w:t>
      </w:r>
    </w:p>
    <w:p>
      <w:r>
        <w:t>En l’espèce, l’appelant sollicite l’audition d’une personne qu’il ne désigne que par sa nationalité roumaine et une aire géographique vague (M______). Un tel acte d’instruction est toutefois impossible à exécuter, dans la mesure où la désignation de l’appelant ne permet aucunement d’identifier le témoin dont il sollicite l’audition, étant au surplus relevé que l’enquête de police menée par le MP n’a pas permis d’identifier cet individu. A défaut de toute indication précise, cette demande est rejetée. Au surplus, compte tenu du résultat de la présente procédure (cf. infra consid. 3.6.2), cet acte d’instruction est en tout état inutile.</w:t>
      </w:r>
    </w:p>
    <w:p>
      <w:r>
        <w:rPr>
          <w:b/>
        </w:rPr>
        <w:t>E. 3.1</w:t>
      </w:r>
    </w:p>
    <w:p>
      <w:r>
        <w:t>Le principe in dubio pro reo ,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L'art. 286 CP réprime celui qui aura empêché une autorité, un membre d'une autorité ou un fonctionnaire de faire un acte entrant dans ses fonctions.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 ; arrêt du Tribunal fédéral 6B_206/2010 du 2 septembre 2010 consid. 4.2). L'infraction réprimée à l'art. 286 CP requiert l'intention ; le dol éventuel suffit.</w:t>
      </w:r>
    </w:p>
    <w:p>
      <w:r>
        <w:rPr>
          <w:b/>
        </w:rPr>
        <w:t>E. 3.3</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point de savoir si l'auteur du délit préalable a été poursuivi ou puni est sans pertinence.</w:t>
      </w:r>
    </w:p>
    <w:p>
      <w:r>
        <w:rPr>
          <w:b/>
        </w:rPr>
        <w:t>E. 3.4</w:t>
      </w:r>
    </w:p>
    <w:p>
      <w:r>
        <w:t>A teneur de l'art. 147 al. 1 CP, est punissable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L'infraction est dirigée contre le patrimoine. Elle s’applique en particulier au cas de celui qui utilise une carte bancaire volée pour retirer de l'argent à l'automate (ATF 129 IV 315 consid. 2.2.1 p. 319).</w:t>
      </w:r>
    </w:p>
    <w:p>
      <w:r>
        <w:rPr>
          <w:b/>
        </w:rPr>
        <w:t>E. 3.5</w:t>
      </w:r>
    </w:p>
    <w:p>
      <w:r>
        <w:t>Selon l'art. 172ter al. 1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3.6.1. En l’espèce, l’appelant conteste en vain s’être rendu coupable d’empêchement d’accomplir un acte officiel. Il importe à cet égard peu qu’il n’ait finalement pas été poursuivi pour le cambriolage initialement signalé : si les policiers ont voulu interpeller l’appelant, c’est en raison de la découverte sur sa personne de cartes bancaires découpées au nom de tiers. En tout état de cause, les policiers disposaient d’éléments justifiant un contrôle plus approfondi compte tenu des circonstances de leur intervention, qui ne procédait d’aucun abus. En prenant la fuite en courant, l’appelant s’est soustrait à leur action légitime. 3.6.2. L’appelant admet qu’il se doutait, en acceptant qu’un inconnu lui confie des cartes bancaires pour procéder à des achats dont ils devaient se partager le bénéfice, que les cartes en question provenaient d’un vol, ce qui est établi pour l’une d’entre elles. La provenance de la seconde carte n’a pas pu être élucidée, mais il est manifeste qu’elle n’a pas été remise par son légitime titulaire à l’appelant. Celui-ci admet également avoir accepté initialement de s’en servir pour procéder à des achats (ou des retraits, selon quelle version il a donné) dont il voulait partager le produit avec son comparse inconnu. Ainsi, l’appelant envisageait initialement un produit généreux, surtout s’il escomptait n’en percevoir que la moitié. L’appelant s’est rendu coupable de recel, portant, dans son esprit, sur des objets devant lui rapporter une somme dépassant CHF 300.- par l’accumulation d’achats successifs, étant rappelé que l’utilisation de la fonction « paiement sans code » permet de régler des achats allant jusqu’à CHF 80.- ou CHF 100.- selon le type de carte utilisée. Il ressort toutefois de la procédure que l’utilisation effective de la seule carte dont le relevé a été produit (établi 10 jours avant l’interpellation de l’appelant, ce qui ne permet pas de savoir si d’autres transactions ont été tentées dans ce laps de temps) n’a pas porté sur des achats de ce type, mais sur des consommations de peu de valeur, si nombreuses que la carte a finalement été bloquée par son émetteur en raison du nombre de transactions, dont la valeur totale était faible. Rien ne permet de rattacher l’appelant à ces transactions, qui ont suivi immédiatement le vol de la carte concernée et sont plus probablement le fait de l’auteur du vol. Elles ne peuvent pas être reprochées à l’appelant qui sera donc acquitté de la contravention y-relative. Cet acquittement ne change toutefois rien à sa culpabilité de recel, puisque l’intention initiale de l’appelant portait bien sur l’utilisation de ces cartes pour des transactions plus importantes. L’appel doit donc être partiellement admis.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w:t>
      </w:r>
    </w:p>
    <w:p>
      <w:r>
        <w:t>Si, durant le délai d'épreuve, le détenu libéré conditionnellement commet un crime ou un délit, le juge qui connaît de la nouvelle infraction ordonne sa réintégration dans l'établissement.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1 et 4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Basler Kommentar Strafrecht I : Art. 1-110 StGB, Jugendstrafgesetz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w:t>
      </w:r>
    </w:p>
    <w:p>
      <w:r>
        <w:rPr>
          <w:b/>
        </w:rPr>
        <w:t>E. 4.4</w:t>
      </w:r>
    </w:p>
    <w:p>
      <w:r>
        <w:t>La rupture de ban est passible d’une peine pécuniaire ou d’une peine privative de liberté de trois ans au plus ; la peine prévue pour le recel est une peine pécuniaire ou une peine privative de liberté de cinq ans au plus. L’empêchement d'accomplir un acte officiel est passible d’une peine pécuniaire. A raison, l’appelant ne conteste pas le prononcé d’une peine privative de liberté pour les infractions passibles d’une telle peine. Compte tenu de sa situation personnelle précaire, de ses antécédents et de l’expulsion dont il fait l’objet, le recouvrement d’une peine pécuniaire serait manifestement voué à l’échec. L’appelant a agi par appât du gain et par mépris de l’autorité. Il a persisté à revenir et séjourner à Genève, alors qu’il n’y a pas de réelles attaches et qu’il fait l’objet d’une mesure d’expulsion en force. Son comportement en lien avec les cartes bancaires recelées est peu rationnel, mais ne s’explique que par l’intention de se procurer de la sorte un revenu facile, alors qu’il bénéficie, dans son pays, de prestations sociales qui devraient lui permettre de subvenir à ses besoins, certes de façon modeste, mais dans une mesure adéquate en regard des conditions de vie en France. Sa situation personnelle n’explique ni ne justifie son comportement. Ses antécédents sont très mauvais ; sur les six condamnations figurant au casier judiciaire de l’appelant, trois ont été prononcées en 2020. Nonobstant une relativement longue détention subie cette année-là, il a rapidement récidivé puisqu’il a été condamné par le MP en décembre 2020 pour rupture de ban. Au vu de la peine privative de liberté prononcée le 24 août 2017, l’appelant ne remplit pas les conditions du sursis ; son pronostic est sombre. Seule une peine ferme est ainsi envisageable. Par ailleurs, l’appelant a récidivé dans le délai d’épreuve de la libération conditionnelle dont il avait bénéficié en octobre 2020. Au vu de son comportement dans la présente cause, il faut retenir qu’il est imperméable à la sanction, et qu’il se justifie de révoquer cette mesure. L’infraction la plus grave en l’espèce, de par sa peine menace, est le recel, d’une gravité toutefois relative, qui justifie le prononcé d’une peine de base de deux mois, qui doit être portée à sept mois (peine hypothétique de six mois) pour la rupture de ban, étendue à dix mois pour tenir compte de la révocation de la libération conditionnelle de 129 jours. La peine fixée par le premier juge pour l’empêchement d’accomplir un acte officiel, soit dix jours-amende à CHF 30.- le jour, apparaît clémente. Elle sera néanmoins confirmée, une aggravation n’étant pas possible en vertu de l’art. 391 al. 2 CPP. L’appel sera dès lors partiellement admis et le jugement entrepris également réformé quant à la quotité de la peine.</w:t>
      </w:r>
    </w:p>
    <w:p>
      <w:r>
        <w:rPr>
          <w:b/>
        </w:rPr>
        <w:t>E. 5</w:t>
      </w:r>
    </w:p>
    <w:p>
      <w:r>
        <w:t>À raison, l’appelant ne conteste pas la mesure d’expulsion, qui est en tout état de cause justifiée au vu de son absence d’attaches en Suisse et de son comportement contraire à la sécurité et à l’ordre publics. Il n'y a pas lieu d'étendre cette mesure d'expulsion à l'ensemble de l'espace Schengen, le prévenu étant ressortissant d'un Etat membre.</w:t>
      </w:r>
    </w:p>
    <w:p>
      <w:r>
        <w:rPr>
          <w:b/>
        </w:rPr>
        <w:t>E. 6.1</w:t>
      </w:r>
    </w:p>
    <w:p>
      <w:r>
        <w:t>Selon l’art. 267 al. 3 CPP, la restitution à l’ayant droit des objets et des valeurs patrimoniales séquestrés qui n’ont pas été libérés auparavant, leur utilisation pour couvrir les frais ou leur confiscation sont statuées dans la décision finale. Conformément aux art. 69 et 70 CP, une confiscation n’est prononcée que si les objets séquestrés ont servi ou devaient servir à la commission d’une infraction, qu’ils en sont le produit ou qu’ils compromettent la sécurité, la morale ou l’ordre public.</w:t>
      </w:r>
    </w:p>
    <w:p>
      <w:r>
        <w:rPr>
          <w:b/>
        </w:rPr>
        <w:t>E. 6.2</w:t>
      </w:r>
    </w:p>
    <w:p>
      <w:r>
        <w:t>Conformément à l’art. 930 du code civil suisse (CC), le possesseur d’une chose mobilière en est présumé propriétaire. Le juge pénal peut s'écarter de cette règle que lorsque le possesseur n'a manifestement aucun droit sur la chose (ATF 120 Ia 120 consid. 1 p. 122).</w:t>
      </w:r>
    </w:p>
    <w:p>
      <w:r>
        <w:rPr>
          <w:b/>
        </w:rPr>
        <w:t>E. 6.3</w:t>
      </w:r>
    </w:p>
    <w:p>
      <w:r>
        <w:t>En l’espèce, l’appelant conteste la restitution à leurs ayants-droits du vélo électrique et du bonnet saisis lors de son interpellation, telle que l’a prononcée le premier juge. En sa qualité de possesseur, il pourrait se prévaloir de l’art. 930 CC ; toutefois, il a expressément indiqué ne pas être le propriétaire de ces biens, qui ne lui appartiennent pas et dont il n’est pas en mesure d’indiquer le légitime détenteur. Dans cette mesure, il n’a aucun droit sur ces objets ; son intention affichée de les restituer à leur légitime propriétaire inconnu n’est pas concrète ni réaliste, surtout dans la mesure où il sera vraisemblablement refoulé à la frontière suisse à sa sortie de détention. Les restituer à l’appelant reviendrait en réalité à les soustraire à leur légitime détenteur, qui se trouve selon toute probabilité sur le territoire cantonal. Il faut dès lors considérer que ces objets sont des choses trouvées. Or, la législation fédérale (art. 720 CC) prescrit dans cette hypothèse une obligation de conservation, concrétisée en droit genevois par l’obligation de remettre les objets trouvés à la police ou au service cantonal des objets trouvés (Règlement concernant les objets trouvés, RObjT, art. 1). En conséquence, ces objets seront remis au service cantonal des objets trouvés.</w:t>
      </w:r>
    </w:p>
    <w:p>
      <w:r>
        <w:rPr>
          <w:b/>
        </w:rPr>
        <w:t>E. 7</w:t>
      </w:r>
    </w:p>
    <w:p>
      <w:r>
        <w:t>7.1.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7.2</w:t>
      </w:r>
    </w:p>
    <w:p>
      <w:r>
        <w:t>Conformément à l’art. 41 CO, celui qui cause, d’une manière illicite, un dommage à autrui, soit intentionnellement, soit par négligence ou imprudence, est tenu de le réparer.</w:t>
      </w:r>
    </w:p>
    <w:p>
      <w:r>
        <w:rPr>
          <w:b/>
        </w:rPr>
        <w:t>E. 7.3</w:t>
      </w:r>
    </w:p>
    <w:p>
      <w:r>
        <w:t>En l’espèce, le lésé a fait valoir le dommage résultant de l’utilisation frauduleuse de sa carte bancaire, faits dont l’appelant a été acquitté. Ce dommage ne peut donc être mis à sa charge. En revanche, l’appelant a pris possession et détruit la carte bancaire en question, la rendant inutilisable. Il sera dès lors condamné à rembourser au lésé le dommage lié au remplacement de cette carte, en CHF 40.-.</w:t>
      </w:r>
    </w:p>
    <w:p>
      <w:r>
        <w:rPr>
          <w:b/>
        </w:rPr>
        <w:t>E. 8</w:t>
      </w:r>
    </w:p>
    <w:p>
      <w:r>
        <w:t>L'appelant, qui obtient partiellement gain de cause, supportera la moitié des frais de la procédure envers l'Etat (art. 428 CPP). Les frais de première instance seront laissés à la charge de l'appelant, ainsi que la moitié de l'émolument complémentaire de jugement. En effet, l'instruction de la contravention dont il a été acquitté n'a nécessité aucun frais supplémentaire justifiant une réduction des frais de la procédure préliminaire. La mise à sa charge de la moitié seulement de l'émolument complémentaire tient suffisamment compte de l'acquittement prononcé.</w:t>
      </w:r>
    </w:p>
    <w:p>
      <w:r>
        <w:rPr>
          <w:b/>
        </w:rPr>
        <w:t>E. 9.1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les deux heures consacrées à la rédaction de la déclaration d’appel, laquelle n’a pas à être motivée, ainsi que l’heure consacrée à l’examen du jugement de première instance seront écartées, cette activité étant prise en compte dans l’indemnisation forfaitaire de 20%. En conclusion, la rémunération sera arrêtée à CHF 2'434.- correspondant à six heures et 45 minutes d'activité au tarif de CHF 200.-/heure, trois heures d’activité au tarif de CHF 150.- plus la majoration forfaitaire de 20%, une indemnité de déplacement à CHF 100.- et l'équivalent de la TVA au taux de 7.7% en CHF 174.-.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