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P/13157/2019 vom 19. Mai 2020</w:t>
      </w:r>
    </w:p>
    <w:p>
      <w:r>
        <w:t>GE Cour de justice, 2020-05-19, FR</w:t>
      </w:r>
    </w:p>
    <w:p>
      <w:r>
        <w:rPr>
          <w:b/>
        </w:rPr>
        <w:t xml:space="preserve">Quelle: </w:t>
      </w:r>
      <w:r>
        <w:t>https://mcp.opencaselaw.ch/entscheid/ge_gerichte_P_13157_2019</w:t>
      </w:r>
    </w:p>
    <w:p>
      <w:r>
        <w:t>FR: GE_GERICHTE P/13157/2019 du 19 mai 2020</w:t>
      </w:r>
    </w:p>
    <w:p>
      <w:r>
        <w:t>IT: GE_GERICHTE P/13157/2019 del 19 maggio 2020</w:t>
      </w:r>
    </w:p>
    <w:p>
      <w:pPr>
        <w:pStyle w:val="Heading2"/>
      </w:pPr>
      <w:r>
        <w:t>Regeste</w:t>
      </w:r>
    </w:p>
    <w:p>
      <w:r>
        <w:t>DIFFAMATION;CHEVAL | CPP.310; CP.173; CP.173.al2; CP.174; CP.303; CP.186; CP.179quater</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2.2</w:t>
      </w:r>
    </w:p>
    <w:p>
      <w:r>
        <w:t>Tel n'est en revanche pas le cas de l'argumentation développée dans le courrier adressé ultérieurement à la Chambre de céans, la motivation d'un acte de recours devant être entièrement contenue dans l'acte de recours lui-même et ne pouvant être complétée ou corrigée ultérieurement (arrêt du Tribunal fédéral 1B_183/2012 du 20 novembre 2012 consid. 2).</w:t>
      </w:r>
    </w:p>
    <w:p>
      <w:r>
        <w:rPr>
          <w:b/>
        </w:rPr>
        <w:t>E. 3</w:t>
      </w:r>
    </w:p>
    <w:p>
      <w:r>
        <w:t>Le recourant reproche au Ministère public de ne pas être entré en matière sur les infractions dénoncées.</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3.2</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 comportement peut être réalisé sous n'importe quelle forme d'expression ( cf. art. 176 CP; ATF 131 IV 160 consid. 3.3 p. 163).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132 IV 112 consid. 2.1 p. 115).</w:t>
      </w:r>
    </w:p>
    <w:p>
      <w:r>
        <w:rPr>
          <w:b/>
        </w:rPr>
        <w:t>E. 3.3</w:t>
      </w:r>
    </w:p>
    <w:p>
      <w:r>
        <w:t>À teneur de l'art. 173 ch. 2 CP, l'inculpé n'encourra aucune peine s'il prouve que les allégations qu'il a articulées ou propagées sont conformes à la vérité ou qu'il avait des raisons sérieuses de les tenir de bonne foi pour vraies.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Le fait que l'accusé ait eu des motifs suffisants de s'exprimer ne signifie pas encore qu'il ait eu des raisons sérieuses de tenir pour vrai ce qu'il a dit (ATF 124 IV 152 consid. 3b). Le contenu et l'étendue du devoir de vérification s'apprécient en examinant les motifs que l'accusé avait de s'exprimer ; si ces motifs sont plutôt inconsistants, les exigences de vérification sont plus sévères (ATF 116 IV 208 consid. b ; 104 IV 16 consid. b ; 86 IV 175 s.). À l'inverse, elles sont moins grandes si l'accusé a un intérêt digne de protection (ATF 69 IV 114 ). Tel est le cas par exemple, suivant les circonstances, de celui qui adresse à l'autorité pénale une plainte ou une dénonciation (B. CORBOZ, Les infractions en droit suisse , 3ème édition, Berne 2010, n. 79 ad art. 173 CP, p. 597, et jurisprudence citée). La défense d'un intérêt légitime allège le devoir de vérification qui incombe à celui qui s'adresse à la police ou à une autre autorité en sachant que celle-ci va procéder à un contrôle approfondi et dénué de préjugés. Le fait de s'adresser à une autorité pénale ou de surveillance ne confère cependant pas le droit de porter atteinte à l'honneur d'autrui ; le dénonciateur qui communique un soupçon à une telle autorité doit agir de bonne foi et avoir des raisons suffisantes de concevoir un tel soupçon (B. CORBOZ, ibidem , p. 598, et jurisprudence citée), se limiter aux déclarations nécessaires et pertinentes et présenter comme telles de simples suppositions (ATF 135 IV 177 consid. 4 ; arrêt du Tribunal fédéral 6B_1225/2014 du 18 janvier 2016 consid. 1.2 ; B. CORBOZ, op. cit. , n. 105-114 ad art. 173). Lorsque la preuve de la bonne foi est apportée (art. 173 ch. 2 CP), l'accusé doit être acquitté (ATF 119 IV 44 consid. 3 p. 49).</w:t>
      </w:r>
    </w:p>
    <w:p>
      <w:r>
        <w:rPr>
          <w:b/>
        </w:rPr>
        <w:t>E. 3.4</w:t>
      </w:r>
    </w:p>
    <w:p>
      <w:r>
        <w:t>La calomnie (art. 174 CP) est une forme qualifiée de diffamation, dont elle se distingue par le fait que les allégations attentatoires à l'honneur sont fausses, que l'auteur a connaissance de la fausseté de ses allégations et qu'il n'y a, dès lors, pas de place pour les preuves libératoires prévues par l'art. 173 CP (arrêt du Tribunal fédéral 6B_1286/2016 du 15 août 2017 consid. 1.2).</w:t>
      </w:r>
    </w:p>
    <w:p>
      <w:r>
        <w:rPr>
          <w:b/>
        </w:rPr>
        <w:t>E. 3.5</w:t>
      </w:r>
    </w:p>
    <w:p>
      <w:r>
        <w:t>En vertu de l'art. 303 ch. 1 al. 1 CP, se rend coupable de dénonciation calomnieuse, celui qui dénonce à l'autorité, comme auteur d'un crime ou d'un délit, une personne qu'il sait innocente, en vue de faire ouvrir contre elle une poursuite pénale. Sur le plan objectif, la dénonciation doit porter sur la commission d'une infraction (M. DUPUIS/ L. MOREILLON/ C. PIGUET/ S. BERGER/ M. MAZOU/ V. RODIGARI [éds], Code pénal - Petit commentaire , 2 ème éd., Bâle 2017, n. 7 ad art. 303) et viser une personne innocente. L'innocence doit, en principe, être établie par une décision qui la constate, qu'il s'agisse d'un acquittement, d'un non-lieu ou d'un classement (arrêt du Tribunal fédéral 6B_753/2016 du 24 mars 2017 consid. 2.1 et les références citées); une telle décision, lorsqu'elle existe, n'empêche pas celui qui doit répondre d'une dénonciation calomnieuse d'expliquer pourquoi, selon lui, le dénoncé avait adopté un comportement fautif et d'exciper de sa bonne foi (ATF 136 IV 170 consid. 2.2). Au plan subjectif, l'auteur doit connaître la fausseté de l'accusation. Il ne suffit donc pas qu'il ait conscience que ses allégations pourraient être fausses. Il doit savoir que son affirmation est inexacte. Aussi, le dol éventuel ne suffit pas (arrêt du Tribunal fédéral 6B_753/2016 du 24 mars 2017 consid. 2.1 et les références citées).</w:t>
      </w:r>
    </w:p>
    <w:p>
      <w:r>
        <w:rPr>
          <w:b/>
        </w:rPr>
        <w:t>E. 3.6</w:t>
      </w:r>
    </w:p>
    <w:p>
      <w:r>
        <w:t>À teneur de l'art. 179 quater CP,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celui qui aura tiré profit ou donné connaissance à un tiers d'un fait qu'il savait ou devait présumer être parvenu à sa propre connaissance au moyen d'une infraction visé à l'al. 1, celui qui aura conservé une prise de vues ou l'aura rendue accessible à un tiers, alors qu'il savait ou devait présumer qu'elle avait été obtenue au moyen d'une infraction visée à l'al. 1, sera sur plainte puni d'une peine privative de liberté de trois ans au plus ou d'une peine pécuniaire. Le caractère répréhensible de l'acte réprimé par l'art. 179quater CP consiste ainsi dans l'absence de consentement de la part des personnes qui sont, dans des faits relevant du domaine secret ou du domaine privé, observées à l'aide d'un appareil de prise de vue ou dont l'image est fixée sur un support(arrêt du Tribunal fédéral 6B_630/2017 du 16 février 2018 consid. 1.2.1).</w:t>
      </w:r>
    </w:p>
    <w:p>
      <w:r>
        <w:rPr>
          <w:b/>
        </w:rPr>
        <w:t>E. 3.7</w:t>
      </w:r>
    </w:p>
    <w:p>
      <w:r>
        <w:t>L'art. 186 CP, qui réprime la violation de domicile, vise celui qui, d'une manière illicite et contre la volonté de l'ayant droit, aura pénétré dans une maison, dans une habitation, dans un local fermé faisant partie d'une maison, dans un espace, cour ou jardin clos attenant à une maison, ou dans un chantier, ou y sera demeuré au mépris de l'injonction de sortie à lui adressée par un ayant droit.</w:t>
      </w:r>
    </w:p>
    <w:p>
      <w:r>
        <w:rPr>
          <w:b/>
        </w:rPr>
        <w:t>E. 3.8</w:t>
      </w:r>
    </w:p>
    <w:p>
      <w:r>
        <w:t>En l'espèce, la mise en cause a dénoncé au SCAV des propos qui lui avaient été rapportés, soit le mauvais traitement que subiraient les chevaux du recourant, comportement qui, réprimé par l'art. 26 de la loi sur la protection des animaux (LPA - RS 455), est un délit. Selon le constat du SCAV, les chevaux du recourant étaient cependant bien traités. Il s'ensuit que l'art. 173 ch. 1 CP pourrait trouver application. Il ressort toutefois des déclarations de la mise en cause qu'elle n'a fait que relayer des témoignages de personnes motivées par le bien-être des animaux. La mise en cause a donc agi pour la défense d'un intérêt légitime, en demandant qu'une vérification soit effectuée. Elle avait, au vu des propos rapportés et des photographies produites, des raisons suffisantes de concevoir un soupçon. La mise en cause s'est limitée, dans son courriel, aux faits qui lui ont été rapportés, sans colporter de fausses accusations ni exagérer ses propos. Elle a d'ailleurs ajouté ne pas avoir constaté ces faits par elle-même. On doit ainsi conclure que, bien qu'aucune maltraitance n'ait été constatée sur les chevaux du recourant, la mise en cause était mue par un intérêt légitime et a agi auprès du service compétent pour recevoir ces soupçons. Il sera donc retenu que la mise en cause peut être mise au bénéfice de la bonne fois au sens de l'art. 173 ch. 2 CP, et n'a, de surcroît, pas commis de calomnie, ni de dénonciation calomnieuse de sorte qu'une non-entrée en matière s'imposait s'agissant des infractions précitées. S'agissant des infractions de violation du domaine secret ou du domaine privé au moyen d'un appareil de prise de vue (art. 179 quater CP) et de violation de domicile (art. 186 CP), la mise en cause a exposé ne pas avoir constaté elle-même les violations dénoncées, se contentant de transmettre les photographies reçues. Les soupçons contraires du recourant à cet égard ou le fait que la mise en cause se serait déjà rendue au manège ne sont pas des éléments suffisants pour fonder une prévention pénale contre elle et aucune mesure d'instruction ne paraît propre à apporter d'éléments utiles à l'enquête sur ces points. Au demeurant, le manège étant un lieu ouvert et accessible à tout le moins à ses membres, il apparaît peu vraisemblable que les éléments constitutifs des dispositions légales précitées soient réalisés, quel qu'ait été l'auteur des photographies produites à l'appui de la dénonciation au SCAV.</w:t>
      </w:r>
    </w:p>
    <w:p>
      <w:r>
        <w:rPr>
          <w:b/>
        </w:rPr>
        <w:t>E. 4</w:t>
      </w:r>
    </w:p>
    <w:p>
      <w:r>
        <w:t>Justifiée, l'ordonnance querellée sera confirmée.</w:t>
      </w:r>
    </w:p>
    <w:p>
      <w:r>
        <w:rPr>
          <w:b/>
        </w:rPr>
        <w:t>E. 5</w:t>
      </w:r>
    </w:p>
    <w:p>
      <w:r>
        <w:t>Le recourant, qui succombe, supportera les frais envers l'État, qui seront fixés en totalités à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