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P/13125/2024 vom 3. Juli 2025</w:t>
      </w:r>
    </w:p>
    <w:p>
      <w:r>
        <w:t>GE Cour de justice, 2025-07-03, FR</w:t>
      </w:r>
    </w:p>
    <w:p>
      <w:r>
        <w:rPr>
          <w:b/>
        </w:rPr>
        <w:t xml:space="preserve">Quelle: </w:t>
      </w:r>
      <w:r>
        <w:t>https://mcp.opencaselaw.ch/entscheid/ge_gerichte_P_13125_2024</w:t>
      </w:r>
    </w:p>
    <w:p>
      <w:r>
        <w:t>FR: GE_GERICHTE P/13125/2024 du 3 juillet 2025</w:t>
      </w:r>
    </w:p>
    <w:p>
      <w:r>
        <w:t>IT: GE_GERICHTE P/13125/2024 del 3 luglio 2025</w:t>
      </w:r>
    </w:p>
    <w:p>
      <w:pPr>
        <w:pStyle w:val="Heading2"/>
      </w:pPr>
      <w:r>
        <w:t>Regeste</w:t>
      </w:r>
    </w:p>
    <w:p>
      <w:r>
        <w:t>LStup.19; LStup.19; LStup.19</w:t>
      </w:r>
    </w:p>
    <w:p>
      <w:pPr>
        <w:pStyle w:val="Heading2"/>
      </w:pPr>
      <w:r>
        <w:t>Erwägungen</w:t>
      </w:r>
    </w:p>
    <w:p>
      <w:r>
        <w:rPr>
          <w:b/>
        </w:rPr>
        <w:t>E. 3</w:t>
      </w:r>
    </w:p>
    <w:p>
      <w:r>
        <w:t>Expulsion 3.1.1. Selon l'art. 66 al. 1 let. o CP, le juge expulse de Suisse l'étranger qui est condamné pour infraction à l'art. 19 al. 2 ou 20 al. 2 LStup,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3.1.2. Depuis le 7 mars 2023, l'inscription de l'expulsion dans le SIS est régie par le règlement (UE) n° 2018/1861 du Parlement européen et du Conseil du 28 novembre 2018 (Règlement SIS Frontières). L'art. 24 §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mineures;il n'est en particulier pas nécessaire que la personne concernée constitue une menace concrète, actuelle et suffisamment grave affectant un intérêt fondamental de la société (ATF 147 IV 340 consid. 4.8; arrêts du Tribunal fédéral 6B_479/2024 du 11 septembre 2024 consid. 2.5.3;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AARP/198/2024 du 7 juin 2024 consid. 4.1; en ce sens également : ATF 147 IV 340 consid. 4.9 ; 146 IV 172 consid. 3.2.2). L'ancien art. 24 du règlement SIS II (règlement CE n° 1987/2006) précisait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3.1.3. L'octroi d'une autorisation de séjour dans un État membre de l'espace SCHENGEN est possible pour une personne faisant l'objet d'une inscription SIS; si l'autorisation est délivrée, l'inscription de l'expulsion au SIS doit par conséquent être radiée, ce qui peut cas échéant intervenir après le jugement ordonnant ladite inscription. Le fait qu'une personne est au bénéfice d'une telle autorisation ne fait d'ailleurs pas obstacle à l'inscription, laquelle doit alors susciter une consultation entre l'État qui a délivré l'autorisation et celui qui inscrit l'expulsion. Si l'État qui a octroyé l'autorisation de séjour la maintient, l'inscription doit aussi être radiée (arrêt du Tribunal fédéral 6B_834/2021 du 5 mai 2022). 3.2.1. En l'espèce, l'expulsion est obligatoire pour l'infraction grave à la LStup. Rien n'indique que le retour du prévenu au Nigeria, pays dans lequel vit toute sa famille, le placerait dans une situation grave. L'intérêt public à l'expulsion du prévenu l'emporte sur son intérêt privé à rester en Suisse. En effet, de nationalité nigériane, le prévenu ne bénéficie d'aucun titre de séjour en Suisse et n'en a jamais bénéficié. Il ne peut se prévaloir d'aucun lien avec la Suisse, dont il ne parle aucune langue. La clause de rigueur ne lui est donc pas applicable. Le verdict de culpabilité commande également que l'expulsion soit inscrite dans le système d'informations Schengen. D'une part, la peine privative de liberté plancher d'un an est prévue pour l'infraction grave à la LStup. D'autre part le prévenu représente, par son comportement, une menace pour la sécurité et l'ordre public dans l'espace SCHENGEN par la nature même et la fréquence des infractions commises, les autorités portugaises étant libres de décider de renouveler le titre de séjour de l'intéressé malgré tout. 3.2.2. Au vu de ce qui précède, l'expulsion du prévenu sera ordonnée pour une durée de 10 ans et inscrite dans le système d'information Schengen (SIS).</w:t>
      </w:r>
    </w:p>
    <w:p>
      <w:r>
        <w:rPr>
          <w:b/>
        </w:rPr>
        <w:t>E. 4</w:t>
      </w:r>
    </w:p>
    <w:p>
      <w:r>
        <w:t>Inventaires, frais et indemnisations 4.1.1.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4.1.2. Les stupéfiants seront confisqués et détruits. Au vu du verdict de culpabilité, les frais de la procédure seront mis à la charge du prévenu.</w:t>
      </w:r>
    </w:p>
    <w:p>
      <w:r>
        <w:rPr>
          <w:b/>
        </w:rPr>
        <w:t>E. 4.2</w:t>
      </w:r>
    </w:p>
    <w:p>
      <w:r>
        <w:t>Le prévenu, condamné, supportera les frais de procédure (art. 426 al. 1 CPP).</w:t>
      </w:r>
    </w:p>
    <w:p>
      <w:r>
        <w:rPr>
          <w:b/>
        </w:rPr>
        <w:t>E. 4.3</w:t>
      </w:r>
    </w:p>
    <w:p>
      <w:r>
        <w:t>Le défenseur d'office du prévenu sera indemnisé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