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P/13050/2013 vom 21. November 2016</w:t>
      </w:r>
    </w:p>
    <w:p>
      <w:r>
        <w:t>GE Cour de justice, 2016-11-21, FR</w:t>
      </w:r>
    </w:p>
    <w:p>
      <w:r>
        <w:rPr>
          <w:b/>
        </w:rPr>
        <w:t xml:space="preserve">Quelle: </w:t>
      </w:r>
      <w:r>
        <w:t>https://mcp.opencaselaw.ch/entscheid/ge_gerichte_P_13050_2013</w:t>
      </w:r>
    </w:p>
    <w:p>
      <w:r>
        <w:t>FR: GE_GERICHTE P/13050/2013 du 21 novembre 2016</w:t>
      </w:r>
    </w:p>
    <w:p>
      <w:r>
        <w:t>IT: GE_GERICHTE P/13050/2013 del 21 novembre 2016</w:t>
      </w:r>
    </w:p>
    <w:p>
      <w:pPr>
        <w:pStyle w:val="Heading2"/>
      </w:pPr>
      <w:r>
        <w:t>Regeste</w:t>
      </w:r>
    </w:p>
    <w:p>
      <w:r>
        <w:t>APPRÉCIATION DES PREUVES; IN DUBIO PRO REO; INDEMNITÉ(EN GÉNÉRAL) | CP183.1.A CPP429.1 CEDH3 CEDH6.2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 ; 120 Ia 31 consid. 2 p. 33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135 IV 152 consid. 2.3.1 p. 155 ; SJ 2008 I 373 consid. 7.3.4.5 p. 382-383). La jurisprudence exige même que le coauteur ait une certaine maîtrise des opérations et que son rôle soit plus ou moins indispensable (ATF 136 consid. 2b p. 141 ; 265 consid. 2c/aa p. 271 s. ; 120 IV 17 consid. 2d p. 23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3.1</w:t>
      </w:r>
    </w:p>
    <w:p>
      <w:r>
        <w:t>L'art. 183 ch. 1 1 ère phr. CP punit de cinq ans de peine privative de liberté au plus ou d'une peine pécuniaire celui qui, sans droit, aura arrêté une personne, l'aura retenue prisonnière, ou l'aura, de toute autre manière, privée de sa liberté. Il n'est pas nécessaire que la privation de liberté dure longtemps ;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Il suffit que le moyen, de manière compréhensible, soit propre à empêcher la victime de partir. L'infraction est intentionnelle, le dol éventuel suffit. L'auteur de l'infraction doit savoir ou accepter qu'il prive une personne de sa liberté d'aller et venir dans des circonstances qui rendent cette privation illicite (B. CORBOZ, Les infractions en droit suisse , vol. I, 3 ème éd., 2010, n. 40 ad art. 183).</w:t>
      </w:r>
    </w:p>
    <w:p>
      <w:r>
        <w:rPr>
          <w:b/>
        </w:rPr>
        <w:t>E. 3.2</w:t>
      </w:r>
    </w:p>
    <w:p>
      <w:r>
        <w:t>En l'espèce, les versions contradictoires des appelants, du plaignant et des témoins concernant le déroulement des faits conduisent la CPAR à apprécier leurs déclarations avec une grande réserve. Il est incontesté que tous se trouvaient dans la salle de conférence de la fiduciaire, de sorte que seul demeure litigieux le fait de savoir si le plaignant et F______ ont été privés de leur liberté. Aucun élément matériel ne corrobore le récit des évènements du plaignant. En effet, il n'existe aucune preuve ni de l'existence du cutter dont l'appelant aurait été muni, ni de la présence des deux hommes devant la fiduciaire. Les certificats médicaux produits ne corroborent pas ses déclarations relatives aux sévices dont il s'est dit victime. En effet, les petites griffures au bras droit constatées médicalement ne cadrent pas avec ses propos selon lesquels la blessure de son bras gauche aurait été maltraitée, sans compter qu'aucune complication compatible avec ses déclarations n'a été constatée. Bien plus, aucune lésion n'est visible sur les photographies prises lorsqu'il rédigeait la reconnaissance de dette ou sur les images de vidéosurveillance de la banque. Les déclarations de F______, qui doivent être appréciées à l'aune du lien de loyauté l'unissant à son employeur, n'apparaissent pas plus fiables. Son incapacité à reconnaître les deux hommes qui l'auraient empêchée d'entrer dans la fiduciaire est difficilement compréhensible si l'on sait qu'elle dit avoir longtemps attendu en leur compagnie. Il paraît inconcevable que le bruit d'une gifle soit entendu depuis l'extérieur d'un bâtiment dont la porte est fermée, si bien que ses propos en la matière semblent seulement destinés à corroborer la version du plaignant. Ses déclarations isolées concernant le saignement de nez du plaignant ne sont pas plus crédibles, celui-ci n'en ayant pas fait état lors de ses auditions. Le certificat médical dressé le jour des faits n'en fait pas davantage mention. Il ne sera pas accordé plus de crédit aux affirmations de J______, qui affirme avoir observé des hématomes sur le dos et le ventre du plaignant, alors que celui-ci prétend avoir été giflé et que les certificats médicaux sont muets sur la localisation de telles lésions. Ainsi, au vu de ce qui précède, il doit être admis que le plaignant, F______ et J______ ont tenté d'accorder leurs versions des faits dans le but d'accabler les appelants. Le premier juge s'est fié à tort aux déclarations de F______, qui tentait maladroitement de corroborer la version de son employeur, vu le lien de subordination qui les unissait. Les seuls éléments de fait avérés ou admis ne permettent pas de retenir que le plaignant et F______ ont été privés de leur liberté. En effet, celui-là admet ne pas avoir tenté de quitter la salle et n'a pas demandé de l'aide à J______ ou à K______ lorsqu'il le pouvait. F______ indique avoir librement pu en sortir lorsqu'elle l'a désiré. Par ailleurs, l'accusation ne démontre pas que les portes de la fiduciaire auraient été fermées à clé, ce qui aurait empêché successivement F______, l'appelante et K______ d'y entrer librement. Il apparaît plutôt que la partie plaignante s'est sentie mal à l'aise d'être ainsi confrontée à la famille H______, se pensant incapable de les rembourser. L'incohérence et l'inconsistance de ses déclarations, maladroitement confirmées par J______ et F______, et le défaut d'assiduité dans les suites de sa plainte pénale démontrent un certain malaise à assumer sa dénonciation empreinte d'exagérations.</w:t>
      </w:r>
    </w:p>
    <w:p>
      <w:r>
        <w:rPr>
          <w:b/>
        </w:rPr>
        <w:t>E. 4</w:t>
      </w:r>
    </w:p>
    <w:p>
      <w:r>
        <w:t>4.1.1. A teneur de l'art. 429 al. 1 let. a CPP, applicable par renvoi de l'art. 436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celui-ci à les chiffrer et à les justifier. Les démarches superflues, abusives ou excessives ne sont pas indemnisées (cf. ATF 115 IV 156 consid. 2d ; M. NIGGLI / M. HEER / H. WIPRÄCHTIGER, Schweizerische Strafprozessordnung – Jugendstrafprozessordnung, Basler Kommentar StPO/JStPO , 2 eme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Toutefois,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S'il entend s'écarter de la liste des opérations produite par l'avocat, le juge doit, au moins brièvement, indiquer les raisons pour lesquelles il tient certaines prétentions pour injustifiées, afin que son destinataire puisse attaquer la décision en connaissance de cause (arrêt du Tribunal fédéral 6B_875/2013 du 7 avril 2014 consid. 5).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4.1.2. L'art. 429 al. 1 let. c CPP prévoit que le prévenu acquitté totalement ou en partie a droit à une réparation du tort moral subi en raison d'une atteinte particulièrement grave à sa personnalité, notamment en cas de privation de liberté. La preuve de l'existence du dommage, son ampleur et sa relation de causalité adéquate avec la poursuite pénale introduite à tort incombent au requérant (arrêt du Tribunal fédéral 6B_595/2007 du 11 mars 2008 consid. 2.2). 4.1.3. L'indemnité pour tort moral sera régulièrement allouée si le prévenu s'est trouvé en détention préventive ou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(arrêt du Tribunal fédéral 6B_928/2014 du 10 mars 2016 consid. 5 et la doctrine citée). En revanche, il n'y a pas lieu de prendre en compte les désagréments inhérents à toute poursuite pénale comme la charge psychique que celle-ci est censée entraîner normalement chez une personne mise en cause (arrêt du Tribunal fédéral 6B_928/2014 du 10 mars 2016 consid. 4 destiné à la publication). 4.1.4 . Selon l'art. 429 al. 1 let. b CPP, le prévenu acquitté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 destiné à la publication). 4.2.1. En l'espèce, l'acquittement des appelants leur ouvre le droit à une indemnisation pour leurs frais de défense. Le recours à un avocat était nécessaire compte tenu de la complexité des faits et de la gravité de l'infraction reprochée. 4.2.2.1. Les honoraires réclamés par le Conseil de l'appelante paraissent globalement justifiés au regard des prestations fournies, sous réserve de certains postes excessifs. Il en va ainsi des postes "Vacation pour consultation du dossier au Tribunal de police" (3h00), "Etude du dossier et pièces clients" (5h00) et "Préparation procès" (4h00). En effet, selon la pratique de la Cour, la durée des vacations ne doit pas dépasser 30 minutes. Par ailleurs, seules trois heures d'activité pour la préparation de l'audience d'appel seront concédées, dès lors qu'aucun fait nouveau n'est apparu depuis le jugement rendu en première instance. Finalement, une heure sera retranchée pour l'étude du dossier, celui-ci n'étant pas particulièrement volumineux. Il sera toutefois ajouté 1h10 au poste "Procès au Tribunal de police" et 50 minutes à celui intitulé "Procès à la Cour de justice" pour tenir compte de la durée effective des audiences. Au vu de ce qui précède, un retranchement de trois heures sera effectué, de sorte que 25h05 donneront lieu à indemnisation. L'appelante se verra par conséquent allouer la somme de CHF 12'190.50, TVA comprise, pour ses frais de défense occasionnés par la procédure. 4.2.2.2. Les honoraires demandés par le Conseil de l'appelant sont justifiés au regard des prestations fournies, à l'exception du poste "Réception et examen de la déclaration d'appel de Mme H______" (30 minutes), qui n'apparaît pas utile à la défense de l'appelant. Le tarif horaire de chef d’étude sur la base duquel sont calculés les honoraires se situant dans la fourchette basse des tarifs usuels, la CPAR admettra à titre exceptionnel les 40 minutes de stagiaire facturées à CHF 180.-/heure. L'appelant se verra par conséquent allouer la somme de CHF 13'629.60, TVA comprise, pour ses frais de défense occasionnés par la procédure. 4.2.3. L'indemnité pour tort moral ne sera pas accordée à l'appelante, motif pris que les désagréments qu'elle a subis du fait de la procédure ne dépassent pas la charge psychique entraînée normalement chez toute personne mise en cause dans une procédure pénale, surtout en l'absence de mesure de contrainte. L'appelante ne prouve au demeurant pas l'existence du dommage, son ampleur et sa relation de causalité adéquate avec la poursuite pénale introduite à tort à son encontre. 4.2.4. Ni motivée, ni étayée, la demande d'indemnisation formée par l'appelante pour deux jours de "vacances/travail" perdus subira le même sort, étant au demeurant précisé qu'elle n'est employée qu'à temps partiel à teneur du dossier.</w:t>
      </w:r>
    </w:p>
    <w:p>
      <w:r>
        <w:rPr>
          <w:b/>
        </w:rPr>
        <w:t>E. 5</w:t>
      </w:r>
    </w:p>
    <w:p>
      <w:r>
        <w:t>Vu l'issue de la procédure, les frais de première instance et d'appel seront laissés à la charge de l'Etat (art. 426 al. 1 a contrario , 428 al. 1 ab initio et 428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