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P/13015/2009 vom 24. September 2012</w:t>
      </w:r>
    </w:p>
    <w:p>
      <w:r>
        <w:t>GE Cour de justice, 2012-09-24, FR</w:t>
      </w:r>
    </w:p>
    <w:p>
      <w:r>
        <w:rPr>
          <w:b/>
        </w:rPr>
        <w:t xml:space="preserve">Quelle: </w:t>
      </w:r>
      <w:r>
        <w:t>https://mcp.opencaselaw.ch/entscheid/ge_gerichte_P_13015_2009</w:t>
      </w:r>
    </w:p>
    <w:p>
      <w:r>
        <w:t>FR: GE_GERICHTE P/13015/2009 du 24 septembre 2012</w:t>
      </w:r>
    </w:p>
    <w:p>
      <w:r>
        <w:t>IT: GE_GERICHTE P/13015/2009 del 24 settembre 2012</w:t>
      </w:r>
    </w:p>
    <w:p>
      <w:pPr>
        <w:pStyle w:val="Heading2"/>
      </w:pPr>
      <w:r>
        <w:t>Regeste</w:t>
      </w:r>
    </w:p>
    <w:p>
      <w:r>
        <w:t>; RIXE ; SURSIS À L'EXÉCUTION DE LA PEINE | Recours au TF rejeté par arrêt | CP.133.1; CP.133.2; CP.42.2</w:t>
      </w:r>
    </w:p>
    <w:p>
      <w:pPr>
        <w:pStyle w:val="Heading2"/>
      </w:pPr>
      <w:r>
        <w:t>Erwägungen</w:t>
      </w:r>
    </w:p>
    <w:p>
      <w:r>
        <w:rPr>
          <w:b/>
        </w:rPr>
        <w:t>E. 3</w:t>
      </w:r>
    </w:p>
    <w:p>
      <w:r>
        <w:t>3.1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7). L'art. 42 al. 2 CP ne s'applique qu'en présence d'une seule condamnation antérieure, (…). Ce qui est déterminant, c'est que l'auteur ait commis une infraction d'une certaine gravité, et non plus – comme sous l'ancien droit – qu'il ait purgé une peine privative de liberté d'une certaine longueur (arrêt du Tribunal fédéral 6B_812/2009 du 18 février 2010 consid. 2.1). 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 2 e éd., 2007, n. 59 ad art. 42). Pour autant, on ne saurait en déduire qu'ils ne suffisent jamais à fonder un pronostic défavorable. Comme sous l'ancien droit (cf. ATF 98 IV 313 consid. 3 p. 313s),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3.2</w:t>
      </w:r>
    </w:p>
    <w:p>
      <w:r>
        <w:t>Il n'est pas contesté que la trajectoire récente suivie par l'appelant comporte des éléments positifs. Ainsi en est-il de ses cours, même s'il convient d'en relativiser l'importance, dès lors que le diplôme d'opérateur déjà obtenu par l'appelant ne l'a pas empêché de récidiver en 2009. Son engagement de travailler à mi-temps est méritoire, encore qu'il découle de son obligation de participer aux frais d'entretien et de son écolage en tant que jeune adulte vivant chez ses parents. L'appelant passe sous silence que les présents faits lui ayant valu sa condamnation ont eu lieu moins d'une année après sa condamnation par la Cour d'assises pour des faits similaires, ce qui est très court. On doit en déduire que la détention avant jugement ne lui a pas pleinement fait prendre conscience de l'importance de respecter l'intégrité corporelle d'autrui, ce qui passe par le refus de prendre part à des règlements de comptes entre bandes rivales qui peuvent dégénérer. La proximité des deux événements, ajoutée au fait qu'il s'agit d'une récidive spéciale, constitue des éléments suffisamment déterminants pour que la Cour de céans se montre particulièrement exigeante, s'agissant de la mise en œuvre de l'exception voulue par le législateur. Or, rien dans le parcours de vie de l'appelant ne peut constituer des circonstances particulièrement favorables, au sens des exigences posées par l'art. 42 al. 2 CP, même si le suivi scolaire constitue un signe encourageant d'une insertion future dans le monde du travail. L'appelant peut d'ailleurs constater que le premier juge a déjà tenu compte de son jeune âge et de son évolution positive en écartant l'application de l'art. 46 CP, la non-révocation du sursis lui restant acquise. Au vu de ce qui précède, aucune raison n'impose de modifier les modalités de la sanction à laquelle l'appelant a été condamné. Le jugement sera ainsi entièrement confirmé.</w:t>
      </w:r>
    </w:p>
    <w:p>
      <w:r>
        <w:rPr>
          <w:b/>
        </w:rPr>
        <w:t>E. 4</w:t>
      </w:r>
    </w:p>
    <w:p>
      <w:r>
        <w:t>L'appelant, qui succombe intégralement, supportera les frais de la procédure envers l'Etat (art. 428 CPP), lesquels comprennent une indemnité de CHF 1'500.- (art. 14 al. 1 let. e du règlement fixant le tarif des frais en matière pénale, E 4 10.03). 42.5.3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