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P/12985/2019 vom 26. Juni 2023</w:t>
      </w:r>
    </w:p>
    <w:p>
      <w:r>
        <w:t>GE Cour de justice, 2023-06-26, FR</w:t>
      </w:r>
    </w:p>
    <w:p>
      <w:r>
        <w:rPr>
          <w:b/>
        </w:rPr>
        <w:t xml:space="preserve">Quelle: </w:t>
      </w:r>
      <w:r>
        <w:t>https://mcp.opencaselaw.ch/entscheid/ge_gerichte_P_12985_2019</w:t>
      </w:r>
    </w:p>
    <w:p>
      <w:r>
        <w:t>FR: GE_GERICHTE P/12985/2019 du 26 juin 2023</w:t>
      </w:r>
    </w:p>
    <w:p>
      <w:r>
        <w:t>IT: GE_GERICHTE P/12985/2019 del 26 giugno 2023</w:t>
      </w:r>
    </w:p>
    <w:p>
      <w:pPr>
        <w:pStyle w:val="Heading2"/>
      </w:pPr>
      <w:r>
        <w:t>Regeste</w:t>
      </w:r>
    </w:p>
    <w:p>
      <w:r>
        <w:t>IN DUBIO PRO REO;LÉSION CORPORELLE SIMPLE;CONTRAINTE(DROIT PÉNAL);PRINCIPE DE L'ACCUSATION;PLAINTE PÉNALE;RETRAIT(VOIE DE DROIT) | CP.123.al1; CP.181; CP.30.al1; CPP.304.al1; CP.33.al2; CPP.325.al1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30 al. 1 CP, si une infraction n'est punie que sur plainte – ce qui est le cas des lésions corporelles simples (art. 123 ch. 1 CP) –, toute personne lésée peut porter plainte contre l'auteur. 2.1.2. À teneur de l'art. 304 al. 1 CPP, la plainte pénale peut être déposée oralement ou par écrit. Le retrait de la plainte pénale est soumis aux mêmes exigences de forme (art. 304 al. 2 CPP). Quiconque a retiré sa plainte ne peut la renouveler (art. 33 al. 2 CP). Le retrait de sa plainte pénale par le lésé – qu'il se soit ou non constitué plaignant – emporte renonciation totale au statut de partie plaignante (Y. JEANNERET/ A. KUHN/ C. PERRIER DEPEURSINGE (éds), Commentaire romand : Code de procédure pénale suisse , 2 ème éd., Bâle 2019, n. 9 ad art. 120). Les art. 30 à 33 CP ne s'appliquent toutefois que si l'infraction considérée est punie uniquement sur plainte préalable (M. NIGGLI / H. WIPRÄCHTIGER, Basler Kommentar Strafrecht I : Art. 1-110 StGB, Jugendstrafgesetz , 4 ème éd., Bâle 2019, n. 24 avant l'art. 30). Le retrait de plainte est une manifestation de volonté irrévocable (ATF 143 IV 104 consid. 5.1. p. 112). Cette renonciation est une déclaration de volonté de l'ayant droit selon laquelle il entend ne pas provoquer une poursuite pénale et qui doit être expresse, claire et sans réserve (F. RIKLIN, Schweizeriches Strafrecht : Allgemeiner Teil I, Verbrechenslehre , 4 ème éd., Zurich 2017, § 21 N 34 ; M. NIGGLI / H. WIPRÄCHTIGER, op.cit. , n. 5 ad art. 33). 2.1.3. La plainte pénale étant une condition de l'exercice de l'action publique pour les infractions poursuivies sur plainte, son retrait a pour conséquence l'abandon de la poursuite, soit l'extinction de l'action pénale (M. DUPUIS / L. MOREILLON / C. PIGUET / S. BERGER / M. MAZOU / V. RODIGARI (éds), Code pénal - Petit commentaire , 2 ème éd., Bâle 2017, n. 1 ss ad art. 30). 2.1.4. 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 confiance. Cette interprétation dite objective relève du droit et s'effectue non seulement d'après le texte et le contexte des déclarations mais également sur le vu des circonstances qui les ont précédées et accompagnées (arrêt du Tribunal fédéral 6B_37/2021 du 1 er mars 2021 consid. 2). 2.1.5. Dans un arrêt ( 6B_83/2021 du 8 septembre 2021), le Tribunal fédéral a mis en pratique les principes susvisés dans le cadre d'un retrait de l'opposition à une ordonnance pénale. L'instance cantonale avait considéré que la déclaration du prévenu était " claire et sans équivoque " dès lors que le prévenu avait précisé, en fin d'audience et sur question du Ministère public qui lui demandait s'il maintenait son opposition : " Non, je souhaite payer ce que je dois. J'accepte la condamnation ". Le Tribunal fédéral a estimé que la Cour cantonale avait procédé directement à une interprétation de la déclaration selon le principe de confiance, mais en omettant de déterminer la volonté subjective du prévenu au regard de la totalité de ses déclarations consignées dans le procès-verbal. Or, il existait des indices permettant de douter de la volonté réelle du prévenu et de sa faculté à comprendre la portée du retrait de son opposition, notamment pour avoir déclaré, en début d'audience, qu'il confirmait celle-ci (consid. 2.3 et 2.4).</w:t>
      </w:r>
    </w:p>
    <w:p>
      <w:r>
        <w:rPr>
          <w:b/>
        </w:rPr>
        <w:t>E. 2.2</w:t>
      </w:r>
    </w:p>
    <w:p>
      <w:r>
        <w:t>L'art. 9 CPP consacre la maxime d'accusation, laquelle découle également des art. 29 al. 2 et 32 al. 2 de la constitution fédérale de la Confédération suisse (Cst. ;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L'obligation faite par l'art. 344 CPP au tribunal d'informer les parties qu'il entend s'écarter de l'appréciation juridique que porte le ministère public sur l'état de fait est indépendante du fait que la nouvelle appréciation juridique est de nature à entraîner une condamnation plus ou moins sévère. L'art. 344 CPP peut être invoqué par la juridiction d'appel (arrêt du Tribunal fédéral 6B_445/2016 du 5 juillet 2017 consid. 4.1). 2.3.1. En l'espèce, à l'instar de la CPR dans son arrêt du 9 décembre 2021 ( ACPR/862/2021 consid. 2.6), la Cour de céans considère que les propos tenus par l'intimé à l'issue de l'audience du 7 mai 2021 ne pouvaient être interprétés subjectivement comme un retrait de plainte. En effet, plusieurs indices, au nombre desquels son état psychologique - bien qu'aucune incapacité de discernement n'ait été établie -, sa mise en cause constante malgré les dénégations du prévenu, sa volonté de présenter, lors de chaque audience, sa version des faits détaillées ou encore sa rétraction immédiate à la suite de la courte suspension d'audience (trois minutes seulement) après s'être entretenu avec son conseil, permettent de douter de sa volonté réelle et de sa faculté à saisir la portée de ses propos. L'assistance d'un avocat, lequel aurait aisément pu l'aiguiller dans sa volonté de retrait de plainte, penche également dans ce sens. Enfin, s'il a effectivement été rendu attentif aux conséquences pénales d'un tel retrait par la police, cette information datait alors de plus de deux ans, si bien qu'il est fort probable qu'il n'en avait gardé aucun souvenir. Ainsi, au regard de ce qui précède, la plainte pénale déposée par le plaignant contre l'appelant n'a pas fait l'objet d'un retrait, de sorte qu'elle est valable et qu'aucun empêchement de procéder conduit à ne pas entrer en matière. 2.3.2. L'appelant soutient, au vu du contenu de l'ordonnance pénale valant acte d'accusation, la violation du principe de l'accusation en lien avec l'infraction de tentative de contrainte retenue par le TP. Il ne peut être suivi. L'ordonnance pénale retient en particulier dans la partie " EN FAIT " : " Il est reproché à A______ d'avoir, le 8 mars 2019, aux alentours de 19h00, à l'intérieur de l'établissement "C______" sis rue 1______ no. ______ à Genève, asséné un coup de poing au visage de B______, lequel est tombé au sol, puis de l'avoir frappé à nouveau, lui occasionnant de la sorte de multiples hématomes, des pétéchies et des dermabrasions. Il lui est également reproché d'avoir, dans ces circonstances, menacé B______ en lui disant "vous avez jusqu'à la fin du mois pour dégager, sinon je te tue" ". En début d'audience, le TP a informé les parties de ce qu'il entendait analyser les faits également sous la qualification de tentative de contrainte. Les éléments mentionnés dans l'ordonnance pénale circonscrivent de manière adéquate l'objet du procès et sont suffisamment précis pour être analysés sous l'angle de la tentative de contrainte. A l'égard des faits reprochés, le prévenu a pu s'exprimer et faire valoir ses moyens de défense tout au long de la procédure et, s'agissant de l'infraction envisagée, il a pu en faire de même, tant par-devant le TP que dans son mémoire d'appel et observations. Contrairement à l'avis du prévenu, il n'était pas nécessaire que l'ordonnance pénale mentionne la " frayeur " causée par ses propos chez le plaignant, dès lors qu'il ne s'agit pas d'un élément constitutif de l'infraction de contrainte (voir infra ch. 3.3 ss). Quant au fait d'user d'un moyen de contrainte illicite, il suffisait, ce qui est le cas en l'espèce, qu'un tel moyen soit décrit et qu'il soit effectivement illicite. Enfin, retenir que le contenu de l'ordonnance pénale ne permettait pas de l'analyser sous l'angle de la tentative de contrainte reviendrait à faire preuve de formalisme excessif. La CPAR partage ainsi l'avis du Tribunal de police quant à la pertinence d'examiner les faits sous l'angle de l'infraction prévue à l'art. 181 CP.</w:t>
      </w:r>
    </w:p>
    <w:p>
      <w:r>
        <w:rPr>
          <w:b/>
        </w:rPr>
        <w:t>E. 3</w:t>
      </w:r>
    </w:p>
    <w:p>
      <w:r>
        <w:t>3.1.1. Le principe in dubio pro reo ,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3.1.3.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3.2</w:t>
      </w:r>
    </w:p>
    <w:p>
      <w:r>
        <w:t>L'art. 123 CP réprime les lésions du corps humain ou de la santé qui ne peuvent être qualifiées de graves au sens de l'art. 122 CP.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arrêt du Tribunal fédéral 6B_1283/2018 du 14 février 2019 consid. 2.1).</w:t>
      </w:r>
    </w:p>
    <w:p>
      <w:r>
        <w:rPr>
          <w:b/>
        </w:rPr>
        <w:t>E. 3.3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w:t>
      </w:r>
    </w:p>
    <w:p>
      <w:r>
        <w:rPr>
          <w:b/>
        </w:rPr>
        <w:t>E. 3.3.1</w:t>
      </w:r>
    </w:p>
    <w:p>
      <w:r>
        <w:t>Il faut que l'auteur menace sa victime d'un dommage sérieux. Pour que le dommage annoncé soit sérieux, il n'est pas nécessaire qu'il soit si important que la victime puisse en être alarmée ou effrayée (M. DUPUIS / L. MOREILLON / C. PIGUET / S. BERGER / M. MAZOU / V. RODIGARI [éds], op. cit. , n. 13 ad art. 181). La contrainte n'est contraire au droit que si elle est illicite (ATF 120 IV 17 consid. 2a p. 19),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w:t>
      </w:r>
    </w:p>
    <w:p>
      <w:r>
        <w:rPr>
          <w:b/>
        </w:rPr>
        <w:t>E. 3.3.2</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3.3.3</w:t>
      </w:r>
    </w:p>
    <w:p>
      <w:r>
        <w:t>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w:t>
      </w:r>
    </w:p>
    <w:p>
      <w:r>
        <w:rPr>
          <w:b/>
        </w:rPr>
        <w:t>E. 3.4</w:t>
      </w:r>
    </w:p>
    <w:p>
      <w:r>
        <w:t>En l'espèce, les versions des parties s'opposent diamétralement, si bien qu'il convient d'examiner la crédibilité des déclarations de chacune.</w:t>
      </w:r>
    </w:p>
    <w:p>
      <w:r>
        <w:rPr>
          <w:b/>
        </w:rPr>
        <w:t>E. 3.4.1</w:t>
      </w:r>
    </w:p>
    <w:p>
      <w:r>
        <w:t>Les explications de l'intimé paraissent en elles-mêmes crédibles. Il s'est montré clair et constant devant les médecins et les autorités pénales, ne variant que sur des détails périphériques, tels que la question de savoir s'il avait fermé à clé la porte du café le soir de l'agression, si son agresseur lui avait saisi le cou avec la main droite et frappé avec celle de gauche, combien de fois il avait été frappé au visage ou encore comment il avait été battu une fois au sol. Ces contradictions s'expliquent aisément par la brièveté des faits et son état de choc, qu'il a décrit à des multiples reprises et qui ressort du témoignage de F______. Cela renseigne également sur les raisons qui ont poussé le plaignant à ne pas mentionner les menaces durant son premier interrogatoire par la police, ce dernier étant vraisemblablement encore bouleversé et focalisé par les coups brutaux et douloureux qu'il venait de recevoir. C'est le lieu de souligner que, de manière génale, les propos rapportés sur le déroulement des faits par le corps médical n'ont qu'une faible force probante, compte tenu des conditions dans lesquelles ils ont été recueillis et du rôle du médecin. A la mise en cause constante de l'appelant s'ajoute la mesure des propos de l'intimé, puisqu'il a refusé que la police se déplace le jour des faits, alors même que selon le témoin F______, il était en sang. Il n'a porté plainte que le lendemain et a également demandé à être dispensé de comparaître à l'audience de jugement, attitude qui concorde mal avec le mobile avancé par le prévenu, à savoir que la procédure pénale appuyait la procédure civile, étant encore rappelé que l'action civile est postérieure au dépôt de la plainte pénale. S'agissant de la présence du prévenu le jour des faits litigieux, la Cour retient que les propos du témoin F______ sur ce point ont tellement varié qu'ils ne sauraient, à eux seuls, emporter conviction. Ils renseignent néanmoins sur l'existence d'une altercation (bruits de heurt, blessures visibles, état de choc), également confirmée par D______, qui a conduit son époux à l'hôpital le soir-même. Par ailleurs, l'altercation telle que décrite par le plaignant concorde non seulement avec les lésions établies par le constat médical, et non médico-légal, étant relevé que l'appelant ne soutient en l'occurrence pas qu'elles seraient incompatibles avec les faits qui lui sont reprochés, mais également avec l'état de stress post-traumatique de l'intimé relevé par différents thérapeutes, qui l'a conduit à entamer un suivi moins de trois mois après les faits. Quant aux différents conflits commerciaux détaillés par la victime, s'ils ne concernent pas à proprement parler les faits reprochés à l'appelant, ils apportent néanmoins un éclairage sur leur origine. Les différends relatifs aux décomptes de loyers et au prix de la place de stationnement ont été confirmés tant par G______ que par D______. L'absence de quittances pour les mois de janvier et février 2019 dans le chargé de pièces produit à l'appui de l'action en réduction de fermage et validation de consignation du fermage tend également à accréditer la version du plaignant, étant précisé que cela entre chronologiquement en lien avec l'agression survenue début mars 2019. Le litige concernant la date de fin du contrat de bail est admis par le prévenu et ressort des différentes actions civiles introduites par les parties. Enfin, la visite de la mère et l'épouse du prévenu à D______ quelques jours après les faits, laquelle n'est en soi pas contestée par les premières citées, renforce encore le récit de la victime. Les excuses pour le comportement violent du prévenu qu'elles auraient présentées à la femme de l'intimé sont confortées par les déclarations extrêmement mesurées du témoin K______, lesquelles doivent néanmoins être appréhendées avec réserve compte tenu de ses liens avec l'intimé. Il résulte de l'analyse qui précède que l'intimé jouit d'une très forte crédibilité, nonobstant les quelques incohérences précédemment relevées.</w:t>
      </w:r>
    </w:p>
    <w:p>
      <w:r>
        <w:rPr>
          <w:b/>
        </w:rPr>
        <w:t>E. 3.4.2</w:t>
      </w:r>
    </w:p>
    <w:p>
      <w:r>
        <w:t>Dans la mesure ou l’appelant nie globalement les faits, sa propre crédibilité est plus difficile à déterminer. Plusieurs éléments interpellent, au premier rang desquels figure son prétendu alibi. Outre le fait qu'il n'est corroboré ni par les pièces produites, ni par le témoignage de son épouse, il n'a été présenté que tardivement à l'audience de jugement. Il est par ailleurs peu vraisemblable, comme il le soutient, que sa mère ne l'ait jamais informé des conflits commerciaux existants avec les époux B______/D______, alors même qu'ils sont établis (voir supra ch. 3.4.1) et que les parties étaient voisines d'arcades. Enfin, hormis un avantage dans la procédure civile examiné supra (voir ch. 3.4.1) ou encore des dettes considérables et une addiction aux jeux, lesquelles ne trouvent toutefois aucune assise dans le dossier, il n'a donné aucune explication crédible au fait que la partie plaignante l'aurait faussement accusé. En définitive, si elle n’est pas mauvaise, sa crédibilité n’est pas différente de celle de tout prévenu qui conteste l’accusation et dont l’intérêt à nier les faits (bénéfice primaire) est manifeste. Elle ne saurait en tout cas l’emporter sur celle de la victime, vu l’examen qui précède.</w:t>
      </w:r>
    </w:p>
    <w:p>
      <w:r>
        <w:rPr>
          <w:b/>
        </w:rPr>
        <w:t>E. 3.4.3</w:t>
      </w:r>
    </w:p>
    <w:p>
      <w:r>
        <w:t>En conclusion, il est retenu que les faits reprochés par l'intimé, tels que résumés dans l’acte d’accusation, sont établis.</w:t>
      </w:r>
    </w:p>
    <w:p>
      <w:r>
        <w:rPr>
          <w:b/>
        </w:rPr>
        <w:t>E. 3.4.4</w:t>
      </w:r>
    </w:p>
    <w:p>
      <w:r>
        <w:t>A raison, l’appelant ne conteste pas les qualifications juridiques retenues de lésions corporelles simples et de tentative de contrainte. Il ne fait en effet nul doute que les coups portés intentionnellement au visage, puis sur le corps de la victime, lequel a été blessé, comme cela ressort du constat médical du 9 mars 2019, sont constitutifs de lésions corporelles simples.</w:t>
      </w:r>
    </w:p>
    <w:p>
      <w:r>
        <w:rPr>
          <w:b/>
        </w:rPr>
        <w:t>E. 3.4.5</w:t>
      </w:r>
    </w:p>
    <w:p>
      <w:r>
        <w:t>Quant à la tentative de contrainte, en menaçant de tuer la victime, le prévenu a utilisé un moyen de contrainte illicite, ce qu'elle ne pouvait ignorer, afin de forcer cette dernière à rendre le commerce, l'entravant ainsi dans sa liberté d'action. L'infraction de contrainte n'a toutefois pas été consommée, le plaignant n'ayant pas cédé à la pression subie.</w:t>
      </w:r>
    </w:p>
    <w:p>
      <w:r>
        <w:rPr>
          <w:b/>
        </w:rPr>
        <w:t>E. 3.4.6</w:t>
      </w:r>
    </w:p>
    <w:p>
      <w:r>
        <w:t>C'est donc à juste titre que le TP a reconnu l'appelant coupable de lésions corporelles simples et de tentative de contrainte, de sorte que l'appel sera rejeté sur ce point et le jugement confirmé.</w:t>
      </w:r>
    </w:p>
    <w:p>
      <w:r>
        <w:rPr>
          <w:b/>
        </w:rPr>
        <w:t>E. 4.1</w:t>
      </w:r>
    </w:p>
    <w:p>
      <w:r>
        <w:t>L'auteur d'une infraction de lésions corporelles simples et de contrainte est passible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4.2.2. La peine pécuniaire ne peut excéder 180 jours-amende, le juge fixant leur nombre en fonction de la culpabilité de l'auteur (art. 34 al. 1 CP). Un jour-amende est de CHF 30.- au moins et de CHF 3'000.- au plus (al. 2).</w:t>
      </w:r>
    </w:p>
    <w:p>
      <w:r>
        <w:rPr>
          <w:b/>
        </w:rPr>
        <w:t>E. 4.3</w:t>
      </w:r>
    </w:p>
    <w:p>
      <w:r>
        <w:t>En l'espèce, la faute de l'appelant n'est pas négligeable. Il s'en est pris à l'intégrité corporelle du prévenu et a tenté de s'en prendre à sa liberté d'action. Ses mobiles, purement égoïstes, relèvent de son impulsivité et de son désir d'imposer, par la violence et la peur, sa volonté. Il s'agit toutefois d'actes ponctuels. Il continue de nier être l'auteur des faits reprochés, n'hésitant pas à jeter l'opprobre sur sa victime pour tenter de convaincre, sans succès, des motivations de cette dernière à l'accuser à tort. Il n'y a ainsi aucune prise de conscience Son absence d'antécédents est un facteur neutre dans la fixation de la peine. Sa responsabilité pénale est entière. Aucune circonstance atténuante n'est réalisée, ni plaidée. Sa situation personnelle ne justifie en aucun cas ses actes. L'appelant ne conteste pas, à juste titre, au-delà de l'acquittement plaidé, la quotité de la peine pécuniaire de 60 jours-amende, qui sanctionne adéquatement les infractions de lésions corporelles simples et de tentative de contrainte et sera, partant, confirmée. Il en ira de même du montant du jour-amende, fixé à CHF 50.- par le premier juge. Le sursis prononcé est acquis à l'appelant (art. 42 al. 1 CP et art. 391 al. 2 CPP). Le délai d'épreuve, arrêté à trois ans, n'est pas critiquable.</w:t>
      </w:r>
    </w:p>
    <w:p>
      <w:r>
        <w:rPr>
          <w:b/>
        </w:rPr>
        <w:t>E. 5</w:t>
      </w:r>
    </w:p>
    <w:p>
      <w:r>
        <w:t>L'appelant, qui succombe intégralement, supportera les frais de la procédure envers l'État (art. 428 CPP et art. 14 al. 1 let. e du règlement fixant le tarif des frais en matière pénale), comprenant un émolument de décision de CHF 2'000.-. Il n'y a pas lieu de revoir la répartition des frais de première instance.</w:t>
      </w:r>
    </w:p>
    <w:p>
      <w:r>
        <w:rPr>
          <w:b/>
        </w:rPr>
        <w:t>E. 6</w:t>
      </w:r>
    </w:p>
    <w:p>
      <w:r>
        <w:t>Vu l'issue de la procédure, l'appelant sera débouté de ses conclusions en indemnisation (art. 429 al. 1 CPP a contrario ).</w:t>
      </w:r>
    </w:p>
    <w:p>
      <w:r>
        <w:rPr>
          <w:b/>
        </w:rPr>
        <w:t>E. 7</w:t>
      </w:r>
    </w:p>
    <w:p>
      <w:r>
        <w:t>Considéré globalement, l'état de frais produit par M e P______, conseil juridique gratuit de B______, satisfait les exigences légales et jurisprudentielles régissant l'assistance judiciaire gratuite en matière pénale. Sa rémunération sera partant arrêtée à CHF 1'033.90 correspondant à 4h00 heures d'activité au tarif de CHF 200.-/heure (CHF 800.-) plus la majoration forfaitaire de 20% (CHF 160.-) et l'équivalent de la TVA au taux de 7.7% en CHF 73.90.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