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P/12945/2020 vom 12. April 2022</w:t>
      </w:r>
    </w:p>
    <w:p>
      <w:r>
        <w:t>GE Cour de justice, 2022-04-12, FR</w:t>
      </w:r>
    </w:p>
    <w:p>
      <w:r>
        <w:rPr>
          <w:b/>
        </w:rPr>
        <w:t xml:space="preserve">Quelle: </w:t>
      </w:r>
      <w:r>
        <w:t>https://mcp.opencaselaw.ch/entscheid/ge_gerichte_P_12945_2020</w:t>
      </w:r>
    </w:p>
    <w:p>
      <w:r>
        <w:t>FR: GE_GERICHTE P/12945/2020 du 12 avril 2022</w:t>
      </w:r>
    </w:p>
    <w:p>
      <w:r>
        <w:t>IT: GE_GERICHTE P/12945/2020 del 12 aprile 2022</w:t>
      </w:r>
    </w:p>
    <w:p>
      <w:pPr>
        <w:pStyle w:val="Heading2"/>
      </w:pPr>
      <w:r>
        <w:t>Regeste</w:t>
      </w:r>
    </w:p>
    <w:p>
      <w:r>
        <w:t>DISPOSITIONS PÉNALES DE LA LSTUP;OPPOSITION À UN ACTE DE L'AUTORITÉ;IN DUBIO PRO REO;INDEMNITÉ POUR DÉTENTION | LStup.19.al1.letc; CP.286; CPP.429.al1.letc</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2.1.3. L'art. 19 ch. 1 LStup punit d'une peine privative de liberté de trois ans au plus ou d'une peine pécuniaire notamment celui qui, sans droit, aliène ou prescrit des stupéfiants, en procure de toute autre manière à un tiers ou en met dans le commerce (let. c). 2.1.4.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L'infraction réprimée à l'art. 286 CP requiert l'intention ; le dol éventuel suffit. 2.2.1. En l'espèce, l'appelant conteste sa culpabilité, relevant que les éléments matériels au dossier ne permettent pas de retenir son implication dans le trafic de stupéfiants qui lui est reproché, celui-ci étant en lui-même douteux et non établi. Il est vrai que les éléments à charge ne reposent essentiellement que sur les éléments mentionnés au rapport d'arrestation. Or, sur cette seule base, l'implication de l'appelant apparaît douteuse. En effet, comme l'a relevé la défense, l'existence même d'une transaction le concernant n'est pas établie et ne ressort pas du rapport précité. Le fait que de la cocaïne a été trouvée à proximité immédiate de C______ à l'occasion de son contrôle n'emporte pas, pour A______, qu'une vente à laquelle il était lié devait nécessairement intervenir sur le moment avec les deux autres personnes non identifiées. C'est ainsi que, même s'il a pu être mis à charge de C______ la possession de cocaïne en vue de vente, rien n'indique que A______ puisse se voir impliqué dans ce comportement. Certes, il y a eu quelques variations dans les déclarations de l'appelant au sujet de sa connaissance de C______ mais il est relevé que, globalement, il a toujours prétendu ne le connaître que de vue, ses explications à la police n'étant pas contradictoires dans la mesure où il est compréhensible que, dans les circonstances de l'interpellation et d'une mise en prévention pour trafic de stupéfiants, s'il n'a fait que croiser C______, il puisse prétendre ne rien savoir de lui, nonobstant les explications de ce dernier. Par ailleurs, l'on ne peut inférer du fait qu'en juin 2019, A______ a été testé positif à la cocaïne en Suisse, qu'il a, avec la certitude nécessaire, participé à une vente non établie, le 15 janvier 2020. Le fait que C______, après notification de l'ordonnance pénale le frappant, a fait défaut à l'audience convoquée devant le MP n'est pas non plus à retenir à la charge de l'appelant, dans la mesure où, libéré après son interpellation, C______ a pu se désintéresser de la procédure. Les faits n'étant pas clairement et suffisamment établis, notamment parce que l'audition en contradictoire des policiers intervenus au soutien de ceux décrits dans le rapport, mesure inefficace au stade de l'appel vu l'écoulement du temps, était manifestement nécessaire à leur élucidation plus précise. Il s'en suit que l'appelant ne peut qu'être acquitté de l'infraction à l'art. 19 al. 1 LStup qui lui est reprochée. 2.2.2. Il en va de même de l'opposition aux actes de l'autorité. En effet, le rapport de police mentionne que, quelque 50 mètres après avoir couru, l'appelant s'est immobilisé de lui-même sans opposer quelque résistance que ce soit. A entendre A______, celui-ci a été surpris et effrayé par le mouvement de plusieurs personnes, soit fuyant, soit venant vers lui habillées en civil. Dès qu'il a compris qu'il s'agissait de policiers, il s'est soumis. Dans les conditions qui précèdent, et sur la base de ses allégués, il est compréhensible que la première réaction de l'appelant ait été de s'éloigner d'une scène qui l'inquiétait. Vu la très courte distance parcourue avant qu'il ne s'immobilise, l'on ne saurait retenir qu'il s'est volontairement opposé aux actes de l'autorité, ce que son comportement ne démontre pas. Là également, il eut été utile de procéder à une confrontation avec les policiers intervenus afin d'établir dans quelle mesure leur témoignage corroborait ou non l'opposition de l'appelant. Aux motifs qui précèdent, le jugement entrepris sera annulé et l'appelant acquitté de l'ensemble des infractions reprochées.</w:t>
      </w:r>
    </w:p>
    <w:p>
      <w:r>
        <w:rPr>
          <w:b/>
        </w:rPr>
        <w:t>E. 3</w:t>
      </w:r>
    </w:p>
    <w:p>
      <w:r>
        <w:t>3.1.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6B_984/2018 du 4 avril 2019 consid. 5.1).</w:t>
      </w:r>
    </w:p>
    <w:p>
      <w:r>
        <w:rPr>
          <w:b/>
        </w:rPr>
        <w:t>E. 3.2</w:t>
      </w:r>
    </w:p>
    <w:p>
      <w:r>
        <w:t>En lespèce, la détention subie par A______ dans le cadre de la procédure ne peut être imputée sur une autre sanction (art. 51 CP) dès lors qu'il n'a pas d'antécédent. Il y a ainsi lieu de lindemniser à hauteur de CHF 400.-, avec intérêt à 5% lan dès le 16 janvier 2020, pour les deux jours de détention subis.</w:t>
      </w:r>
    </w:p>
    <w:p>
      <w:r>
        <w:rPr>
          <w:b/>
        </w:rPr>
        <w:t>E. 4</w:t>
      </w:r>
    </w:p>
    <w:p>
      <w:r>
        <w:t>Les frais seront laissés à la charge de l'Etat (art. 423 CPP).</w:t>
      </w:r>
    </w:p>
    <w:p>
      <w:r>
        <w:rPr>
          <w:b/>
        </w:rPr>
        <w:t>E. 5</w:t>
      </w:r>
    </w:p>
    <w:p>
      <w:r>
        <w:t>Considéré globalement, l'état de frais produit par M e B______, défenseur d'office de A______, satisfait les exigences légales et jurisprudentielles régissant l'assistance judiciaire gratuite en matière pénale sous réduction d'une heure pour le poste " conférence ", les faits reprochés ne nécessitant pas de longs entretiens ainsi que d'une heure pour le poste " procédure ", le dossier, simple et peu volumineux, ne tenant qu'en quelques pages, ne nécessitant pas une activité supérieure à 2h05mn. Sa rémunération sera partant arrêtée à CHF 1'486.25, correspondant à 5h20 d'activité au tarif de CHF 200.-/heure (CHF 1'066.65) plus la majoration forfaitaire de 20% (CHF 213.35) et l'équivalent de la TVA au taux de 7.7% en CHF 106.25 ainsi que le déplacement à l'audience d'appel en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