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P/12917/2019 vom 2. Februar 2021</w:t>
      </w:r>
    </w:p>
    <w:p>
      <w:r>
        <w:t>GE Cour de justice, 2021-02-02, FR</w:t>
      </w:r>
    </w:p>
    <w:p>
      <w:r>
        <w:rPr>
          <w:b/>
        </w:rPr>
        <w:t xml:space="preserve">Quelle: </w:t>
      </w:r>
      <w:r>
        <w:t>https://mcp.opencaselaw.ch/entscheid/ge_gerichte_P_12917_2019</w:t>
      </w:r>
    </w:p>
    <w:p>
      <w:r>
        <w:t>FR: GE_GERICHTE P/12917/2019 du 2 février 2021</w:t>
      </w:r>
    </w:p>
    <w:p>
      <w:r>
        <w:t>IT: GE_GERICHTE P/12917/2019 del 2 febbraio 2021</w:t>
      </w:r>
    </w:p>
    <w:p>
      <w:pPr>
        <w:pStyle w:val="Heading2"/>
      </w:pPr>
      <w:r>
        <w:t>Regeste</w:t>
      </w:r>
    </w:p>
    <w:p>
      <w:r>
        <w:t>RESTITUTION DU DÉLAI;FICTION DE LA NOTIFICATION;NOTIFICATION IRRÉGULIÈRE;EXPERTISE JURIDIQUE;ERREUR | CPP.94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tenu compte de l'erreur de l'employé postal.</w:t>
      </w:r>
    </w:p>
    <w:p>
      <w:r>
        <w:rPr>
          <w:b/>
        </w:rPr>
        <w:t>E. 3.1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 ACPR/196/2014 du 8 avril 2014).</w:t>
      </w:r>
    </w:p>
    <w:p>
      <w:r>
        <w:rPr>
          <w:b/>
        </w:rPr>
        <w:t>E. 3.2</w:t>
      </w:r>
    </w:p>
    <w:p>
      <w:r>
        <w:t>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 Selon la jurisprudence, le relevé « Track &amp; Trace »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 consid. 2.2 p. 602; arrêt du Tribunal fédéral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 2.4.1 p. 604). Dans ce contexte, des considérations purement hypothétiques, selon lesquelles l'envoi aurait été inséré dans la boîte aux lettres du voisin ou d'un tiers, ne sont pas suffisantes (arrêts du Tribunal fédéral 8C_482/2018 précité consid. 4.3; 9C_90/2015 du 2 juin 2015 consid. 3.2 et les arrêts cités);</w:t>
      </w:r>
    </w:p>
    <w:p>
      <w:r>
        <w:rPr>
          <w:b/>
        </w:rPr>
        <w:t>E. 3.3</w:t>
      </w:r>
    </w:p>
    <w:p>
      <w:r>
        <w:t>En l'espèce, le recourant expose que l'empêchement de procéder consiste en l'absence de notification correcte de l'ordonnance pénale. Selon les principes sus-rappelés, il lui appartenait toutefois de rendre vraisemblable l'absence de dépôt, dans sa boîte aux lettres, de l'avis de retrait du pli recommandé. Or, en se fondant sur de simples suppositions, fondées sur des statistiques de plis égarés - non documentées et dont rien ne dit qu'ils concernent les plis recommandés, qui plus est dans son quartier -, les « pressions » que subiraient les employés postaux et l'adage selon lequel l'erreur est humaine, le recourant ne fait pas état de dysfonctionnements concrets dans la distribution de son courrier. Ses explications ne sont ainsi pas de nature à renverser la présomption découlant du « Track &amp; Trace », à teneur duquel l'avis de retrait a été inséré dans sa boîte le 30 octobre 2020 à 11 heures 42. En l'absence de toute obligation légale, l'autorité n'avait pas à renvoyer au recourant le pli recommandé que ce dernier n'avait pas retiré à l'office postal. Le recours sera ainsi rejeté, de sorte que le fond du litige ne sera pas abordé.</w:t>
      </w:r>
    </w:p>
    <w:p>
      <w:r>
        <w:rPr>
          <w:b/>
        </w:rPr>
        <w:t>E. 4</w:t>
      </w:r>
    </w:p>
    <w:p>
      <w:r>
        <w:t>Justifiée, l'ordonnance querellée sera donc confirmée.</w:t>
      </w:r>
    </w:p>
    <w:p>
      <w:r>
        <w:rPr>
          <w:b/>
        </w:rPr>
        <w:t>E. 5</w:t>
      </w:r>
    </w:p>
    <w:p>
      <w:r>
        <w:t>Le recourant, qui succombe, supportera les frais envers l'État fixés en totalité à CHF 300.-, y compris un émolument de décision, pour tenir compte de la situation financière du recourant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