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P/12904/2021 vom 6. August 2021</w:t>
      </w:r>
    </w:p>
    <w:p>
      <w:r>
        <w:t>GE Cour de justice, 2021-08-06, FR</w:t>
      </w:r>
    </w:p>
    <w:p>
      <w:r>
        <w:rPr>
          <w:b/>
        </w:rPr>
        <w:t xml:space="preserve">Quelle: </w:t>
      </w:r>
      <w:r>
        <w:t>https://mcp.opencaselaw.ch/entscheid/ge_gerichte_P_12904_2021</w:t>
      </w:r>
    </w:p>
    <w:p>
      <w:r>
        <w:t>FR: GE_GERICHTE P/12904/2021 du 6 août 2021</w:t>
      </w:r>
    </w:p>
    <w:p>
      <w:r>
        <w:t>IT: GE_GERICHTE P/12904/2021 del 6 agosto 2021</w:t>
      </w:r>
    </w:p>
    <w:p>
      <w:pPr>
        <w:pStyle w:val="Heading2"/>
      </w:pPr>
      <w:r>
        <w:t>Regeste</w:t>
      </w:r>
    </w:p>
    <w:p>
      <w:r>
        <w:t>RISQUE DE COLLUSION;RISQUE DE RÉCIDIVE;ACTE D'ORDRE SEXUEL AVEC UN ENFANT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suffisantes et graves, même s'il les minimise, de sorte qu'il n'y a pas lieu de s'y attarder.</w:t>
      </w:r>
    </w:p>
    <w:p>
      <w:r>
        <w:rPr>
          <w:b/>
        </w:rPr>
        <w:t>E. 3</w:t>
      </w:r>
    </w:p>
    <w:p>
      <w:r>
        <w:t>Il conteste le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128 I 149 consid. 2.1 p. 151; 123 I 31 consid. 3c p. 35 et les références).</w:t>
      </w:r>
    </w:p>
    <w:p>
      <w:r>
        <w:rPr>
          <w:b/>
        </w:rPr>
        <w:t>E. 3.2</w:t>
      </w:r>
    </w:p>
    <w:p>
      <w:r>
        <w:t>En l'espèce, les victimes identifiées à ce jour ont certes été entendues par la police. Il convient toutefois d'éviter que le prévenu ne tente le cas échéant de faire pression sur elles afin de les amener à modifier leurs déclarations en sa faveur. Ses victimes, dont sa propre fille, évoluent en effet dans sa sphère d'influence proche et les messages R______ [réseau de communication] échangés avec O______, notamment, révèlent une grande proximité avec elle. L'existence d'autres victimes n'est par ailleurs pas exclu à ce stade précoce de l'enquête, l'analyse du téléphone portable du prévenu étant en cours et des auditions d'autres enfants au camping de Q______ sont prévues prochainement. Il convient ainsi d'éviter que le prévenu use de son influence ou exerce des pressions sur elles afin d'empêcher le dépôt de nouvelles plaintes contre lui. Le risque de collusion reste donc entier.</w:t>
      </w:r>
    </w:p>
    <w:p>
      <w:r>
        <w:rPr>
          <w:b/>
        </w:rPr>
        <w:t>E. 4</w:t>
      </w:r>
    </w:p>
    <w:p>
      <w:r>
        <w:t>Le recourant conteste le risque de réitération.</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4.2</w:t>
      </w:r>
    </w:p>
    <w:p>
      <w:r>
        <w:t>En l'occurrence, la répétition des actes reprochés et leur durée font craindre que le prévenu, qui ne s'explique pas ses agissements sauf à dire qu'il a dérapé, commette à nouveau des infractions de même nature. Le risque de récidive est d'autant plus accru que le prévenu est chauffeur de bus scolaire et ainsi au contact régulier d'enfants.</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5.2</w:t>
      </w:r>
    </w:p>
    <w:p>
      <w:r>
        <w:t>Le recourant propose toute une liste de mesures de substitution aptes, selon lui, à pallier les risques susmentionnés. Si les mesures de substitution ordonnées en juin 2021 ont été jugées suffisantes pour pallier lesdits risques, l'enquête a depuis lors révélé l'existence d'une nouvelle victime, O______, pour des faits de surcroît autrement plus graves. Une interdiction de contact avec elle n'apparaît pas suffisante en l'état, aucune confrontation n'ayant encore eu lieu, étant relevé qu'une telle mesure ne reposerait que sur la seule volonté du recourant. En outre, l'enquête vise à identifier d'éventuelles autres victimes. Les nouvelles mesures de substitution proposées par le prévenu (assignation à résidence ou bracelet électronique) ne sauraient ainsi l'empêcher de prendre contact tant avec la précitée qu'avec d'autres victimes potentielles. Vu ce qui précède, il est inutile d'examiner si les mesures de substitution proposées sont adéquates pour pallier le risque de réitération, étant relevé que certaines d'entre elles visent uniquement à empêcher le risque de fuite, lequel n'a pas été retenu.</w:t>
      </w:r>
    </w:p>
    <w:p>
      <w:r>
        <w:rPr>
          <w:b/>
        </w:rPr>
        <w:t>E. 6</w:t>
      </w:r>
    </w:p>
    <w:p>
      <w:r>
        <w:t>Au vu de la peine menace et concrètement encourue si le recourant devait être reconnu coupable des infractions qui lui sont reprochées, la durée de la détention provisoire subie jusqu'alors et jusqu'à l'échéance fixée respecte le principe de la proportionnalité, ce que le recourant ne conteste au demeurant pas.</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9.2</w:t>
      </w:r>
    </w:p>
    <w:p>
      <w:r>
        <w:t>En l'occurrence, quand bien même le recourant succombe, on peut admettre que l'exercice du présent recours ne procède pas d'un abus. L'indemnité du défenseur d'office sera fixée en fin de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