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P/12777/2012 vom 13. August 2013</w:t>
      </w:r>
    </w:p>
    <w:p>
      <w:r>
        <w:t>GE Cour de justice, 2013-08-13, FR</w:t>
      </w:r>
    </w:p>
    <w:p>
      <w:r>
        <w:rPr>
          <w:b/>
        </w:rPr>
        <w:t xml:space="preserve">Quelle: </w:t>
      </w:r>
      <w:r>
        <w:t>https://mcp.opencaselaw.ch/entscheid/ge_gerichte_P_12777_2012</w:t>
      </w:r>
    </w:p>
    <w:p>
      <w:r>
        <w:t>FR: GE_GERICHTE P/12777/2012 du 13 août 2013</w:t>
      </w:r>
    </w:p>
    <w:p>
      <w:r>
        <w:t>IT: GE_GERICHTE P/12777/2012 del 13 agosto 2013</w:t>
      </w:r>
    </w:p>
    <w:p>
      <w:pPr>
        <w:pStyle w:val="Heading2"/>
      </w:pPr>
      <w:r>
        <w:t>Regeste</w:t>
      </w:r>
    </w:p>
    <w:p>
      <w:r>
        <w:t>IN DUBIO PRO REO; FIXATION DE LA PEINE; SURSIS PARTIEL À L'EXÉCUTION DE LA PEINE; RÉVOCATION DU SURSIS | CPP.10.3; CP.42; CP.43; CP.46; CP.47</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1.2.1 L'art. 399 CPP, qui régit la déclaration d'appel, prévoit que celle-ci doit notamment indiquer si le jugement est attaqué dans son ensemble ou seulement sur certaines parties.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1.2.2 En l'espèce, l'appelant n'a pas indiqué, dans sa déclaration d'appel, qu'il contestait le jugement dans son entier et il s’est contenté de prendre des conclusions tendant à son acquittement s’agissant d'un chef d'accusation, à l'octroi du sursis partiel et à la non révocation du précédent sursis, sans demander une réduction de la peine. Dans ces circonstances le grief développé dans le mémoire d'appel sur la quotité de la peine - laquelle n’est à tout le moins pas illégale ou inéquitable - doit être tenu pour tardif. La quotité de la peine ne sera partant revue qu’en cas d’acquittement partiel.</w:t>
      </w:r>
    </w:p>
    <w:p>
      <w:r>
        <w:rPr>
          <w:b/>
        </w:rPr>
        <w:t>E. 2.1</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Les déclarations, au demeurant variables, de l'appelant selon lesquelles il aurait quitté la Suisse après sa condamnation du 2 avril 2012 pour n’y revenir qu’aux environs des 20-25 août ou, plutôt, le 11 août 2012, date à laquelle il a été contrôlé, sont contredites, de façon tout à fait certaine, par le fait qu'il a également été contrôlé le 30 juin 2012. Il n'est pas non plus vraisemblable qu'il ait quitté la Suisse entre le 3 avril et le 30 juin, la situation personnelle qu'il décrit ne lui permettant guère d'effectuer des voyages coûteux, sans but apparent. Au contraire, la proximité des dates où sa présence à Genève est certaine (2 avril, 30 juin, 11 août, 15 septembre 2012) permet de retenir au-delà de tout doute raisonnable qu'il a séjourné sans discontinuer durant toute cette période en Suisse, soit au-delà des 90 jours durant lesquels une présence sans permis de séjour est autorisée, de sorte qu'il a contrevenu à l’art. 115 al. 1 let. a LEtr. Le jugement querellé sera ainsi confirmé en ce qui concerne le verdict de culpabilité.</w:t>
      </w:r>
    </w:p>
    <w:p>
      <w:r>
        <w:rPr>
          <w:b/>
        </w:rPr>
        <w:t>E. 3</w:t>
      </w:r>
    </w:p>
    <w:p>
      <w:r>
        <w:t>3.1 . 1 Selon l'art. 43 CP, le juge peut suspendre partiellement l'exécution d'une peine pécuniaire, d'un travail d'intérêt général ou d'une peine privative de liberté d'un an au moins et de trois ans au plus afin de tenir compte de façon appropriée de la faute de l'auteur (al. 1). 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 3.1.2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3.1.3 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 3.1.4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 3.1.5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consid. 5.6).</w:t>
      </w:r>
    </w:p>
    <w:p>
      <w:r>
        <w:rPr>
          <w:b/>
        </w:rPr>
        <w:t>E. 3.2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3.3.1 Contrairement à ce que soutient l’appelant, sa faute est bien lourde, étant rappelé que la circonstance aggravante de l’art. 19 al. 2 let. a LStup est réalisée et qu’il y a concours d’infractions avec la violation de la LEtr. Sa situation, outre qu’elle n’était pas si précaire qu’il le prétend, compte tenu des sommes trouvées sur lui lors du contrôle du 11 août 2012, tient à sa décision de demeurer en Suisse alors même qu’il ne peut espérer y trouver un emploi, vu son statut. Son mobile était égoïste, quand bien même il n’aurait agi que contre une rémunération en nature, sous forme de nourriture, comme il semble le prétendre mais ne semble guère probable. Le rôle allégué de gardien de la drogue n’est pas un rôle subalterne, dès lors qu’il implique une grande responsabilité à l’égard du propriétaire. Quoi qu’il en dise, la durée de la période pénale n’est pas brève et celle-ci n’a pris fin qu’en raison de l’intervention de la police. L’appelant n’a pas hésité à commettre une nouvelle infraction à la LStup à peine quelques mois après avoir été condamné une première fois pour une infraction de même type et avoir bénéficié d’une mesure de sursis. Certes, cette première peine n’était pas lourde, mais la récidive est d’autant plus préoccupante en l’espèce qu’il y a une escalade dans la gravité. Aucun élément du dossier ne permet de penser qu’il y aurait chez l’appelant une véritable introspection. En particulier, dans le courrier produit avec le mémoire d’appel, il est uniquement question de regrets eu égard à la souffrance infligée à ses parents et d’une difficulté à supporter la détention, soit des considérations relativement égoïstes, mais non de prise de conscience du caractère répréhensible des actes commis. L’appelant n’évoque pas non plus un projet crédible qui permettrait de penser qu’il a la volonté et les moyens de changer de mode de vie. 3.3.2 Dans ces circonstances, force est d’admettre que le pronostic est défavorable, de sorte que la condition subjective à l’octroi du sursis partiel n’est pas réalisée. 3.3.3 En revanche, vu la relative jeunesse de l’appelant, il peut être espéré que le signal fort que constitue la condamnation à une peine privative de liberté de 30 mois ferme sera de nature à le détourner de commettre d’autres infractions à l’avenir. Aussi, il peut encore être admis qu’il n’est pas nécessaire de révoquer de surcroît le précédent sursis accompagnant la peine pécuniaire de 80 jours-amende. L’appel sera par conséquent admis dans cette seule limite.</w:t>
      </w:r>
    </w:p>
    <w:p>
      <w:r>
        <w:rPr>
          <w:b/>
        </w:rPr>
        <w:t>E. 4</w:t>
      </w:r>
    </w:p>
    <w:p>
      <w:r>
        <w:t>L'appelant, qui succombe pour l’essentiel, supportera les frais de la procédure envers l'État, l’émolument étant cependant réduit à CHF 1'000.- (art. 428 CPP et art. 14 al. 1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