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P/12759/2023 vom 25. April 2024</w:t>
      </w:r>
    </w:p>
    <w:p>
      <w:r>
        <w:t>GE Cour de justice, 2024-04-25, FR</w:t>
      </w:r>
    </w:p>
    <w:p>
      <w:r>
        <w:rPr>
          <w:b/>
        </w:rPr>
        <w:t xml:space="preserve">Quelle: </w:t>
      </w:r>
      <w:r>
        <w:t>https://mcp.opencaselaw.ch/entscheid/ge_gerichte_P_12759_2023</w:t>
      </w:r>
    </w:p>
    <w:p>
      <w:r>
        <w:t>FR: GE_GERICHTE P/12759/2023 du 25 avril 2024</w:t>
      </w:r>
    </w:p>
    <w:p>
      <w:r>
        <w:t>IT: GE_GERICHTE P/12759/2023 del 25 aprile 2024</w:t>
      </w:r>
    </w:p>
    <w:p>
      <w:pPr>
        <w:pStyle w:val="Heading2"/>
      </w:pPr>
      <w:r>
        <w:t>Regeste</w:t>
      </w:r>
    </w:p>
    <w:p>
      <w:r>
        <w:t>DÉTENTION PROVISOIRE;VISITE;COMMUNICATION AVEC LE DÉFENSEUR | CEDH.8; CPP.235.al1; Cst; Cst</w:t>
      </w:r>
    </w:p>
    <w:p>
      <w:pPr>
        <w:pStyle w:val="Heading2"/>
      </w:pPr>
      <w:r>
        <w:t>Erwägungen</w:t>
      </w:r>
    </w:p>
    <w:p>
      <w:r>
        <w:rPr>
          <w:b/>
        </w:rPr>
        <w:t>E. 1</w:t>
      </w:r>
    </w:p>
    <w:p>
      <w:r>
        <w:t>Les décisions relatives à l’exécution de la détention avant jugement et qui ne portent pas directement sur les relations avec le défenseur, au sens de l’art. 235 al. 4 CPP – tel le refus d’une autorisation de visite à un tiers – sont sujettes à recours selon les modalités prévues par le droit cantonal (art. 235 al. 5 CPP), soit en l’occurrence auprès de la Chambre de céans (art. 30 al. 1 de la loi d'application du code pénal suisse et d'autres lois fédérales en matière pénale, du 27 août 2009 – LaCP; RS E 4 10), qui appliquera les art. 379 à 397 CPP par analogie (art. 30 al. 2 LaCP).</w:t>
      </w:r>
    </w:p>
    <w:p>
      <w:r>
        <w:rPr>
          <w:b/>
        </w:rPr>
        <w:t>E. 2</w:t>
      </w:r>
    </w:p>
    <w:p>
      <w:r>
        <w:t>Le recourant allègue une constatation erronée des faits (art. 393 al. 2 let. b CPP). Dès lors que la Chambre de céans jouit d'un plein pouvoir de cognition en droit et en fait (art. 393 al. 2 CPP) (ATF 137 I 195 consid. 2.3.2; arrêt du Tribunal fédéral 1B_524/2012 du 15 novembre 2012 consid. 2.1), les éventuelles constatations incomplètes ou inexactes du Ministère public auront été corrigées dans l'état de fait établi ci-devant. Partant, ce grief sera rejeté.</w:t>
      </w:r>
    </w:p>
    <w:p>
      <w:r>
        <w:rPr>
          <w:b/>
        </w:rPr>
        <w:t>E. 3</w:t>
      </w:r>
    </w:p>
    <w:p>
      <w:r>
        <w:t>Le recourant se plaint de la violation du principe de la célérité en raison de la durée excessive de l’enquête.</w:t>
      </w:r>
    </w:p>
    <w:p>
      <w:r>
        <w:rPr>
          <w:b/>
        </w:rPr>
        <w:t>E. 3.1</w:t>
      </w:r>
    </w:p>
    <w:p>
      <w:r>
        <w:t>Concrétisant le principe de la célérité consacré à l'art. 29 al. 1 Cst., l'art. 5 CPP impose aux autorités pénales d'engager les procédures pénales sans délai et de les mener à terme sans retard injustifié (al. 1), la procédure devant être conduite en priorité lorsqu'un prévenu est placé en détention (al. 2). Selon la jurisprudence, il doit s'agir d'un manquement particulièrement grave, faisant au surplus apparaître que l'autorité de poursuite n'est plus en mesure de conduire la procédure à chef dans un délai raisonnable (ATF 140 IV 74 consid. 3.2; 137 IV 118 consid. 2.1 ; cf. arrêt du Tribunal fédéral 7B_43/2024 du 4 mars 2024 consid. 3.2.). Le caractère raisonnable de la durée d'une procédure pénale s'apprécie selon les circonstances particulières de la cause, soit en particulier par rapport à la complexité de l'affaire, au comportement du requérant et à celui des autorités compétentes, ainsi qu'à l'enjeu du litige pour l'intéressé (ATF 133 I 270 consid. 3.4.2; arrêt du Tribunal fédéral 7B_43/2024 du 4 mars 2024 consid. 3.2.).</w:t>
      </w:r>
    </w:p>
    <w:p>
      <w:r>
        <w:rPr>
          <w:b/>
        </w:rPr>
        <w:t>E. 3.2</w:t>
      </w:r>
    </w:p>
    <w:p>
      <w:r>
        <w:t>En l'occurrence, le recourant est soupçonné d'être impliqué dans un très important trafic de stupéfiants portant sur plus de 170 kilos de produits cannabiques et plusieurs kilos de cocaïne. Il conteste l'essentiel des faits. L'enquête a nécessité de nombreuses auditions et l'analyse des téléphones saisis, à laquelle s'est ajoutée celle des conversations du prévenu depuis la prison. On ne décèle pas de retard dans cette activité soutenue, laquelle doit, selon les observations du Ministère public, encore se poursuivre, y compris en lien avec les faits reprochés à la compagne du recourant et à la mère de celle-ci, et le recourant n’en disconvient pas. Partant, le grief en lien avec la violation du principe de la célérité est infondé.</w:t>
      </w:r>
    </w:p>
    <w:p>
      <w:r>
        <w:rPr>
          <w:b/>
        </w:rPr>
        <w:t>E. 4</w:t>
      </w:r>
    </w:p>
    <w:p>
      <w:r>
        <w:t>Le recourant considère que les refus de visite et de téléphone violent ses droits fondamentaux et le principe de la proportionnalité.</w:t>
      </w:r>
    </w:p>
    <w:p>
      <w:r>
        <w:rPr>
          <w:b/>
        </w:rPr>
        <w:t>E. 4.1</w:t>
      </w:r>
    </w:p>
    <w:p>
      <w:r>
        <w:t>La garantie de la liberté personnelle (art. 10 al. 2 Cst.) et le droit au respect de la vie privée et familiale (art. 8 CEDH et 13 Cst.) permettent aux personnes détenues d'entretenir des contacts avec les membres de leur famille, dans les limites découlant de la mesure de contrainte qui leur est imposée et du rapport de sujétion spécial qui les lie à l'Etat (arrêt 1B_202/2016 du 14 juillet 2016 consid. 2.2). Conformément aux exigences de l'art. 36 Cst., les restrictions à ces droits doivent reposer sur une base légale et ne pas aller au-delà de ce qui est nécessaire au but de l'incarcération et au fonctionnement de l'établissement de détention (ATF 145 I 318 consid. 2.1 et 143 I 241 consid. 3.4). Ce principe est rappelé en matière d'exécution de la détention avant jugement à l'art. 235 al. 1 CPP qui prévoit que la liberté des prévenus en détention ne peut être restreinte que dans la mesure requise par le but de la détention et par le respect de l'ordre et de la sécurité dans l'établissement. Cette disposition exige en effet que chaque atteinte à ces droits fasse l'objet d'une pesée d'intérêts dans le cadre de laquelle l'autorité doit tenir compte de l'ensemble des circonstances, soit en particulier des buts de la détention (prévention des risques de fuite, de collusion ou de réitération), des impératifs de sécurité de l'établissement pénitentiaire, de la durée de l'incarcération et de la situation personnelle du prévenu, notamment le lieu de résidence des proches et les besoins et possibilités réelles de correspondre et de recevoir des visites (ATF 145 I 318 consid. 2.1; arrêt 1B_202/2016 du 14 juillet 2016 consid. 2.2). Les garanties de la CEDH relatives aux conditions de détention n'offrent pas une protection plus étendue que celles garanties par la Constitution fédérale (ATF 145 I 318 consid. 2.1 et 143 I 241 consid. 3.4). Selon les règles pénitentiaires européennes, les détenus sont autorisés à communiquer aussi souvent que possible avec leur famille par lettre, par téléphone ou par d'autres formes de communication et à recevoir des visites de leur part. Dans le cas des détenus soumis à une procédure pénale, les visites et autres contacts peuvent être limités et surveillés si cela est nécessaire pour les enquêtes pénales en cours, pour le maintien de l'ordre et de la sécurité, pour la prévention des infractions pénales et pour la protection des victimes d'infractions (ATF 145 I 318 consid. 2.2 et 143 I 241 consid. 4.3). Le risque de collusion peut être justifié par l'intérêt public lié aux besoins de l'instruction en cours, par exemple lorsqu'il est à craindre que le prévenu ne mette sa liberté à profit pour faire disparaître ou altérer les preuves, ou qu'il prenne contact avec des témoins ou d'autres prévenus pour tenter d'influencer leurs déclarations (art. 221 al. 1 let. b CPP).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rPr>
          <w:b/>
        </w:rPr>
        <w:t>E. 4.2</w:t>
      </w:r>
    </w:p>
    <w:p>
      <w:r>
        <w:t>En l'espèce, le risque de collusion est – quoi qu'en dise le recourant – réalisé de manière très concrète. Sa compagne, F______, est également prévenue dans le trafic en cause, y compris pour avoir, après son arrestation (à lui), récupéré des stupéfiants, en avoir vendu, et avoir déplacé et dissimulé des biens achetés avec le produit dudit trafic. Or, il apparait que – malgré l'interdiction formelle qui lui a été faite de parler à son compagnon – elle a eu une conversation téléphonique avec lui par l'intermédiaire de E______, lequel bénéficiait d'une telle autorisation. En outre, il était prévu qu'elle rencontre le frère du prévenu, seul autorisé à le voir en prison, avant que E______ ne vienne la voir pour qu'elle lui dise un " truc qu'il comprendra[it] ". Dans ces circonstances, il importe peu que les proches en question ne soient pas impliqués dans les faits reprochés puisque les manœuvres décrites ci-dessus sont de nature à entraver la recherche de la vérité. Il n'est pas non plus nécessaire, à ce stade, de déterminer si de la drogue serait susceptible d'être livrée en prison et, le cas échéant, si des mesures – telles que les fouilles proposées par le recourant – pourraient être utiles. En l'état de la procédure, le risque de collusion est très important et justifie la restriction des relations personnelles entre le prévenu et certains de ses proches; elle reste proportionnée dans la mesure où le recourant bénéficie des autorisations de correspondances.</w:t>
      </w:r>
    </w:p>
    <w:p>
      <w:r>
        <w:rPr>
          <w:b/>
        </w:rPr>
        <w:t>E. 5</w:t>
      </w:r>
    </w:p>
    <w:p>
      <w:r>
        <w:t>Le recours s'avère ainsi infondé et doit être rejeté.</w:t>
      </w:r>
    </w:p>
    <w:p>
      <w:r>
        <w:rPr>
          <w:b/>
        </w:rPr>
        <w:t>E. 6</w:t>
      </w:r>
    </w:p>
    <w:p>
      <w:r>
        <w:t>Le recourant, qui succombe, supportera les frais envers l'État, qui comprendront un émolument de CHF 900.- (art. 428 al. 1 CPP et 13 al. 1 du Règlement fixant le tarif des frais en matière pénale, RTFMP ; E 4 10.03).</w:t>
      </w:r>
    </w:p>
    <w:p>
      <w:r>
        <w:rPr>
          <w:b/>
        </w:rPr>
        <w:t>E. 7</w:t>
      </w:r>
    </w:p>
    <w:p>
      <w:r>
        <w:t>L'indemnité du défenseur d'office du recourant, qui fait partie des frais de procédure (art. 422 al. 2 let. a CPP), sera fixée à la fin de la procédure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