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P/12690/2014 vom 4. September 2015</w:t>
      </w:r>
    </w:p>
    <w:p>
      <w:r>
        <w:t>GE Cour de justice, 2015-09-04, FR</w:t>
      </w:r>
    </w:p>
    <w:p>
      <w:r>
        <w:rPr>
          <w:b/>
        </w:rPr>
        <w:t xml:space="preserve">Quelle: </w:t>
      </w:r>
      <w:r>
        <w:t>https://mcp.opencaselaw.ch/entscheid/ge_gerichte_P_12690_2014</w:t>
      </w:r>
    </w:p>
    <w:p>
      <w:r>
        <w:t>FR: GE_GERICHTE P/12690/2014 du 4 septembre 2015</w:t>
      </w:r>
    </w:p>
    <w:p>
      <w:r>
        <w:t>IT: GE_GERICHTE P/12690/2014 del 4 settembre 2015</w:t>
      </w:r>
    </w:p>
    <w:p>
      <w:pPr>
        <w:pStyle w:val="Heading2"/>
      </w:pPr>
      <w:r>
        <w:t>Regeste</w:t>
      </w:r>
    </w:p>
    <w:p>
      <w:r>
        <w:t>SÉJOUR ILLÉGAL; PEINE COMPLÉMENTAIRE; FIXATION DE LA PEINE; PEINE PÉCUNIAIRE | LEtr.115.1.b; CP.49.2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2.1.2. La directive sur le retour 2008/115/CE, intégrée au droit suisse par l'arrêté fédéral du 18 juin 2010 (RO 2010 5925) et la jurisprudence de la Cour de justice de l'Union européenne y relative (ci-après : la CJUE), dont les juridictions suisses doivent tenir compte (arrêt du Tribunal fédéral 6B_525/2014 du 9 octobre 2014 consid. 1.1) ne s'opposent pas au principe de la poursuite pénale d'un étranger, dans un Etat membre, du chef de séjour illégal. Seul le type de sanction susceptible d'être infligé est limité.</w:t>
      </w:r>
    </w:p>
    <w:p>
      <w:r>
        <w:rPr>
          <w:b/>
        </w:rPr>
        <w:t>E. 2.2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(ATF 138 IV 113 consid. 3.4) ; en présence d'une ordonnance pénale, la date de l'échéance du délai d'opposition est, en revanche, déterminante (M. DUPUIS / B. GELLER / G. MONNIER / L. MOREILLON / C. PIGUET / C. BETTEX / D. SOLL (éd.), Code pénal , Petit commentaire , Bâle 2012, n. 26 ad art. 49), cette ordonnance valant, en cas de contestation, simple acte d'accusation soumis au Tribunal (art. 356 al. 1 2 e phrase CPP). La fixation d'une peine d'ensemble n'est pas possible en cas de sanctions de genre différent. Ainsi, une sanction pécuniaire ne peut être prononcée comme peine complémentaire d'une peine privative de liberté (ATF 137 IV 57 consid. 4.3). 3.2.3. Conformément à l'art. 34 CP, la peine pécuniaire est fixée en jours-amende dont le tribunal détermine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Le montant du jour-amende ne peut toutefois être inférieur à CHF 10.- (ATF 135 IV 180 consid. 1.4.2 p. 185). 3.2.4.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3.2.5.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3.3.1. En l'espèce, la faute de l'appelant n'est pas anodine. Il fait entièrement fi des normes en vigueur, demeurant en Suisse sans droit et s’adonnant à un trafic de stupéfiants par appât d’un gain facile. Ses mobiles sont égoïstes. Sa collaboration à la procédure est médiocre. Bien qu’il ait immédiatement reconnu résider illégalement en Suisse, il pouvait toutefois difficilement contester les charges, étant interpellé sur le territoire où il séjourne sans droit. De plus, l’appelant a contesté, durant la procédure de première instance, prendre part à un trafic de stupéfiants, malgré la drogue retrouvée sur lui lors de son interpellation et les éléments à charge retenus contre lui. Bien que conscient de l'illicéité de son comportement, la prise de conscience de l'appelant reste superficielle. Il n'entreprend aucune démarche en vue de son retour en H______ et persiste à refuser l'aide qui lui est proposée en ce sens. La situation personnelle de l'appelant ne révèle aucun facteur à décharge, sa vraisemblable absence totale de liens avec la Suisse rendant encore moins compréhensible son insistance à rester dans ce pays. L’appelant n’allègue pas être toxicomane. Le sursis est inenvisageable en l'absence de modification de la situation personnelle de l'appelant, lequel a déjà bénéficié d’une telle opportunité en plus d’une libération conditionnelle. Pour les mêmes motifs, une exemption de peine ne saurait entrer en ligne de compte. 3.3.2. Compte tenu de la jurisprudence citée, la question du prononcé d’une peine d’ensemble ne se pose pas pour les condamnations des 18 juillet 2014 et 1 er décembre 2014, dans la mesure où elles ont donné lieu une peine privative de liberté. A contrario , la peine à fixer dans le cadre de la présente procédure étant du même genre que celle infligée le 28 août 2014, elle doit être déclarée complémentaire, ce qui peut être revu par la CPAR même en l'absence de grief spécifique à cet égard, afin d'éviter une décision inéquitable (art. 404 al. 2 CPP), dans la mesure où l’issue n’est pas défavorable à l’appelant. Si la CPAR avait eu à connaître de l'ensemble des infractions reprochées, elle aurait arrêté, compte tenu des spécificités de la faute de l'appelant, du concours avec le délit à la LStup et des éléments de sa situation personnelle, une peine pécuniaire de 90 jours-amende. Le jugement entrepris sera dès lors réformé en ce sens que l'appelant sera condamné à une peine pécuniaire de 30 jours-amende, dite peine étant complémentaire à celle prononcée le 28 août 2014. Compte tenu de la condition modeste de l'appelant, le montant du jour-amende sera fixé au minimum jurisprudentiel de CHF 10.-. Le jugement entrepris sera réformé en conséquence.</w:t>
      </w:r>
    </w:p>
    <w:p>
      <w:r>
        <w:rPr>
          <w:b/>
        </w:rPr>
        <w:t>E. 3.1</w:t>
      </w:r>
    </w:p>
    <w:p>
      <w:r>
        <w:t>L'infraction à l'art. 19 al. 1 LStup est passible d'une peine privative de liberté de trois ans au plus ou d'une peine pécuniaire, celles réprimées à l'art. 115 al. 1 LEtr d'une peine privative de liberté d'un an au plus ou d'une peine pécuniaire. 3.2.1.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rPr>
          <w:b/>
        </w:rPr>
        <w:t>E. 4</w:t>
      </w:r>
    </w:p>
    <w:p>
      <w:r>
        <w:t>L'appelant, qui succombe partiellement, supportera la moitié des frais de la procédure d'appel, qui comprennent un émolument de jugement de CHF 1'500.- (art. 428 CPP et 14 al. 1 let. e du Règlement fixant le tarif des frais en matière pénale du 22 décembre 2010 [RTFMP ; RS E 4 10.03]).</w:t>
      </w:r>
    </w:p>
    <w:p>
      <w:r>
        <w:rPr>
          <w:b/>
        </w:rPr>
        <w:t>E. 5</w:t>
      </w:r>
    </w:p>
    <w:p>
      <w:r>
        <w:t>5.1. Les frais imputables à la défense d’office et à l'assistance judiciaire gratuite sont des débours (art. 422 al. 2 let. a CPP) qui constituent des frais de procédure (art. 422 al. 1 CPP).</w:t>
      </w:r>
    </w:p>
    <w:p>
      <w:r>
        <w:rPr>
          <w:b/>
        </w:rPr>
        <w:t>E. 5.2</w:t>
      </w:r>
    </w:p>
    <w:p>
      <w:r>
        <w:t>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Au regard de ce qui précède, la CPAR est compétente, au sens de l'art. 135 al. 2 CPP, pour statuer sur l'activité postérieure à sa saisine, soit le 8 août 2014.</w:t>
      </w:r>
    </w:p>
    <w:p>
      <w:r>
        <w:rPr>
          <w:b/>
        </w:rPr>
        <w:t>E. 5.3</w:t>
      </w:r>
    </w:p>
    <w:p>
      <w:r>
        <w:t>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L'indemnité est calculée selon le tarif horaire de CHF 200.- pour un chef d'étude, débours de l'étude inclus, hors TVA (art. 16 al. 1 RAJ).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5.4</w:t>
      </w:r>
    </w:p>
    <w:p>
      <w:r>
        <w:t>En l’espèce, A______ a été mis au bénéfice de l'assistance judiciaire, avec effet au 8 août 2014. En l'absence de production d'une note de frais afférente à la procédure d'appel, la CPAR est amenée à apprécier l'indemnité due à Me B______, conseil de l'appelant, ex aequo et bono . Au vu de la nature de l’affaire, portant essentiellement sur des questions juridiques, un entretien avec le mandant n’apparaît pas indispensable. S’agissant d’une procédure écrite, la CPAR retiendra 2 heures et 30 minutes d’activité de chef d’étude au taux horaire de CHF 200.- pour la rédaction du mémoire d’appel au regard de son contenu et des arguments soulevés, dont certains ne s’appliquent pas au cas d’espèce. L'indemnisation sera dès lors accordée à hauteur de CHF 648.- (indemnité forfaitaire de 20% [CHF 100.-] et TVA à 8% [CHF 48.-] comprises [décision de la Cour des plaintes du Tribunal pénal fédéral BB.2015.33 du 28 juillet 2015 consid. 5.5 et ordonnance de la Cour des plaintes du Tribunal pénal fédéral BB.2015.35 du 3 août 2015 consid. 6.8]).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