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P/12684/2020 vom 23. Juli 2020</w:t>
      </w:r>
    </w:p>
    <w:p>
      <w:r>
        <w:t>GE Cour de justice, 2020-07-23, FR</w:t>
      </w:r>
    </w:p>
    <w:p>
      <w:r>
        <w:rPr>
          <w:b/>
        </w:rPr>
        <w:t xml:space="preserve">Quelle: </w:t>
      </w:r>
      <w:r>
        <w:t>https://mcp.opencaselaw.ch/entscheid/ge_gerichte_P_12684_2020</w:t>
      </w:r>
    </w:p>
    <w:p>
      <w:r>
        <w:t>FR: GE_GERICHTE P/12684/2020 du 23 juillet 2020</w:t>
      </w:r>
    </w:p>
    <w:p>
      <w:r>
        <w:t>IT: GE_GERICHTE P/12684/2020 del 23 luglio 2020</w:t>
      </w:r>
    </w:p>
    <w:p>
      <w:pPr>
        <w:pStyle w:val="Heading2"/>
      </w:pPr>
      <w:r>
        <w:t>Regeste</w:t>
      </w:r>
    </w:p>
    <w:p>
      <w:r>
        <w:t>SOUPÇON;QUALITÉ POUR AGIR ET RECOURIR;COMMUNAUTÉ HÉRÉDITAIRE;REPRÉSENTANT;DROIT DE CARACTÈRE CIVIL | CPP.310; CPP.382; CC.602.al3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et concerner une ordonnance sujette à recours auprès de la Chambre de céans (art. 310 al. 2, 322 al. 3 et 393 al. 1 let a CPP).</w:t>
      </w:r>
    </w:p>
    <w:p>
      <w:r>
        <w:rPr>
          <w:b/>
        </w:rPr>
        <w:t>E. 2</w:t>
      </w:r>
    </w:p>
    <w:p>
      <w:r>
        <w:t>Une communauté héréditaire est, en principe, recevable à attaquer une décision de non-entrée en matière, car elle est partie à la procédure (art. 104 al. 1 let. b CPP; ACPR/179/2020 du 9 mars 2020 consid. 2.1. et les références). Cependant, il n'est pas évident, en l'espèce, que le représentant officiel de la communauté héréditaire ait qualité pour agir au pénal. En effet, le mandat confié à celui-ci ne s'étend pas expressis verbis au dépôt d'une plainte ou d'une dénonciation pénale ni, a fortiori , au dépôt d'un recours contre un refus de suivre, sauf à y voir des actes tendant indirectement au recouvrement de créances (cf. CR CC II - SPAHR, art. 602 n. 75). La question n'a pas à être approfondie, dès lors que le recours s'avère manifestement mal fondé.</w:t>
      </w:r>
    </w:p>
    <w:p>
      <w:r>
        <w:rPr>
          <w:b/>
        </w:rPr>
        <w:t>E. 3</w:t>
      </w:r>
    </w:p>
    <w:p>
      <w:r>
        <w:t>La recourante affirme que les conditions d'une non-entrée en matière n'étaient pas réunies.</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ce qui est par exemple le cas lorsque le litige est de nature purement civile (Y. JEANNERET / A. KUHN / C. PERRIER DEPEURSINGE (éds), Commentaire romand : Code de procédure pénale suisse, 2 ème éd., Bâle 2019, n. 10 ad art. 310; L. MOREILLON / A. PAREIN-REYMOND, CPP, Code de procédure pénale, Bâle 2016, 2ème éd., n. 7 ad art. 310). Il s'agit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 n. 9 ad art. 310; R. PFISTER-LIECHTI (éd.), La procédure pénale fédérale, Fondation pour la formation continue des juges suisses, Berne 2010, p. 62; DCPR/85/2011 du 27 avril 2011).</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 er décembre 2016 consid. 4; 6B_635/2015 du 9 février 2016 consid. 3.1). Le comportement délictueux consiste à utiliser la valeur patrimoniale contrairement aux instructions reçues, en s'écartant de la destination fixée (ATF 129 IV 257 consid. 2.2.1 p. 259; arrêts du Tribunal fédéral 6B_279/2017 du 23 janvier 2018 consid. 2.1; 6B_20/2017 du 6 septembre 2017 consid. 5.2; 6B_356/2016 du 6 mars 2017 consid. 2.1).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 du prêteur ou, du moins, diminuer son risque de perte (" Werterhaltungspflicht "; ATF 129 IV 257 consid. 2.2.2 p. 259 s.; ATF 124 IV 9 consid. 1 p. 10 ss; ATF 120 IV 117 consid. 2 p. 118 ss; arrêts du Tribunal fédéral 6B_279/2017 du 23 janvier 2018 consid. 2.1 in fine ; 6B_1043/2013 du 4 juillet 2014 consid. 3.2).</w:t>
      </w:r>
    </w:p>
    <w:p>
      <w:r>
        <w:rPr>
          <w:b/>
        </w:rPr>
        <w:t>E. 3.3</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3.4</w:t>
      </w:r>
    </w:p>
    <w:p>
      <w:r>
        <w:t>Est punissable pour gestion déloyale (art. 158 CP) celui qui, en vertu par exemple d'un acte juridique, est tenu de gérer les intérêts pécuniaires d'autrui ou de veiller sur leur gestion et qui, en violation de ses devoirs, aura porté atteinte à ces intérêts ou permis qu'ils soient lésés. L'art. 158 CP suppose quatre conditions : il faut que l'auteur ait eu une position de gérant, qu'il ait violé une obligation lui incombant en cette qualité, qu'il en soit résulté un préjudice et qu'il ait agi intentionnellement (ATF 120 IV 190 consid. 2b p. 192; arrêts du Tribunal fédéral 6B_136/2017 du 17 novembre 2017 consid. 4.1; 6B_949/2014 du 6 mars 2017 consid. 12.1).</w:t>
      </w:r>
    </w:p>
    <w:p>
      <w:r>
        <w:rPr>
          <w:b/>
        </w:rPr>
        <w:t>E. 3.5</w:t>
      </w:r>
    </w:p>
    <w:p>
      <w:r>
        <w:t>Se rend coupable d'usure (art. 157 CP) celui qui exploite la capacité de jugement déficiente d'une personne en se faisant accorder par elle, pour lui-même ou pour un tiers, en échange d'une prestation, des avantages pécuniaires en disproportion évidente avec cette prestation sur le plan économique. Il résulte du libellé "en échange d'une prestation" que cette disposition pénale ne vise pas celui qui, même en exploitant la capacité de jugement déficiente d'autrui, se fait accorder des avantages pécuniaires sans lui-même accorder de contrepartie. En particulier, celui qui capte une donation ne commet pas le crime d'usure, et son acte n'est pas non plus punissable à un autre titre, parce qu'il ne fournit lui-même aucune prestation (ATF 142 IV 341 consid. 2).</w:t>
      </w:r>
    </w:p>
    <w:p>
      <w:r>
        <w:rPr>
          <w:b/>
        </w:rPr>
        <w:t>E. 3.6</w:t>
      </w:r>
    </w:p>
    <w:p>
      <w:r>
        <w:t>En l'espèce, il s'impose de constater, d'emblée, les fondements hypothétiques et conjecturaux de la plainte et du recours, ainsi que l'absence de tout développement juridique à l'appui des infractions invoquées, jusques et y compris la gestion déloyale, qui n'était pas visée dans la " plainte/dénonciation ". La recourante ne soupçonne d'agissements pénaux que dans la mesure où elle estime que son représentant n'a pas reçu de réponse satisfaisante des personnes qu'il a interpellées. Ce n'est pas là en soi l'indice qu'une ou des infractions pénales aurai(en)t été commise(s) au préjudice du de cujus . La détérioration de l'état neuro-psychologique de ce dernier n'est attestée qu'à partir de mars 2014, et les actes dénoncés sont, tous, largement antérieurs. En 2014 même, il ressort des pièces (PP 100'021) qu'une vente immobilière, au mois de février, a rapporté CHF 13'000'000.- - et la recourante s'en plaint d'autant moins qu'elle la met ostensiblement au rang des opérations éclairées de A______ (cf. plainte, ch. 5) -. C'est le lieu de souligner que la recourante met en exergue le passé d'homme d'affaires expérimenté et prospère de l'intéressé. Par conséquent, on ne saurait considérer que, pour ses actes bien antérieurs à mars, voire à février 2014, A______ était atteint d'une faiblesse de son discernement, au sens de l'art. 157 CP. Par ailleurs, aucune des opérations qui suscitent l'interrogation de la recourante ne dénote la violation d'un devoir de gestion. Le dossier est dépourvu d'éléments qui permettraient de qualifier C______ ou B______ de gérant, au sens de l'art. 158 CP. Le premier est décrit comme un " compagnon d'affaires ", et le second comme le comptable du de cujus , notamment chargé de ses déclarations fiscales (cf. PP 100'533). En ce qui concerne le prêt d'USD 3'200'000.- que A______ aurait accordé en 2009 à C______ en vue d'opérations immobilières aux États-Unis, ni un contrat de prêt ni un autre indice d'une affectation spécifiquement convenue du montant susmentionné ne sont apportés. Un projet de contrat semble, certes, avoir été préparé, mais sans précision sur l'usage des fonds (PP 100'254 ss.), et en 2013 seulement; il n'a pas été signé. Le virement du 30 juillet 2009 - soit quatre ans plus tôt - fut destiné à une société, D______., et non à C______. À ce sujet, la recourante évoque " des " procès civils en cours aux États-Unis; mais la pièce à laquelle elle se réfère (soit la première page de ce qui pourrait être un jugement américain; PP 100'196) vise un unique litige, qui oppose C______ à D______., sans qu'on parvienne à en discerner l'objet ni la date. Cela ne suffit pas à rendre vraisemblable la commission d'une infraction. Ni un abus de confiance (faute d'indice d'une affectation convenue avec C______) ni une escroquerie (faute d'indice d'une tromperie astucieuse mise en oeuvre par le prénommé pour inciter le de cujus à accorder le prêt, à lui ou à D______) n'entrent en considération. En ce qui concerne le contrat de prêt signé le 17 septembre 2009, par lequel A______ accordait EUR 1'700'000.- à C______, rien, dans son texte, ne permet de le relier directement à l'acquisition du château de E______ [France], quel qu'en fût le bénéficiaire. Que l'emprunteur n'ait jamais honoré sa dette envers le de cujus n'est pas l'indice d'une infraction pénale. On ne voit pas en quoi l'absence de reconnaissance de dette serait révélatrice d'une turpitude ou compromettrait la défense des droits de la succession. Au demeurant, B______ considère que A______ était l'ayant droit économique (PP 100'484) de la société détenant la quasi-totalité des parts du château de E______ (PP 100'232), de sorte que, si un prêt a été convenu précisément pour permettre l'acquisition de l'édifice, alors l'argent a bien reçu l'affectation voulue par le prêteur. Là non plus, ni un abus de confiance ni une escroquerie n'entrent en considération. La même réponse doit être apportée à ce qui est présenté comme un prêt supplémentaire de CHF 4'235'365.-. La recourante se borne à renvoyer à une opération du 31 décembre 2011 qui est, en réalité, inscrite, au débit, en tant que " reprise solde suite v [en] te participation " (PP 100'188), soit une technique comptable, non une sortie d'argent. Certes, la recourante produit aussi un projet de contrat de prêt, mais il a été transmis à A______ deux ans plus tard, soit en même temps que celui relatif aux USD 3'200'000.- (PP 100'257 ss.). Le montant prévu a fait l'objet d'annotations manuscrites qui le font apparaître inférieur à CHF 4'235'365.-, et ce texte n'est pas signé, lui non plus. S'il fallait voir dans ces éléments contradictoires les indices concluants d'un prêt consenti à C______, un remboursement en souffrance n'aurait pas, à lui seul, de caractère pénal, étant rappelé que A______ (aujourd'hui, sa succession) reste l'ayant droit économique du château. Pour ce qui a trait aux CHF 2'600'000.-, la recourante soutient que, dans la mesure où cet argent apparaît sur un compte de la même société que celle sur laquelle les montants susmentionnés étaient comptabilisés, elle ignorerait si leur transfert par notaire, tel que voulu le 26 mai 2009 par A______, a bien été exécuté. Il lui suffisait pourtant de se reporter à la pièce même à laquelle elle se réfère (PP 100'186) : le crédit en provenance du notaire, inscrit à la date du 9 juin 2009, a servi à financer les prêts d'USD 3'200'000.- et EUR 1'700'000.-. Que la société où ces fonds sont temporairement apparus soit, depuis lors, entrée en liquidation - ou que les liquidateurs successifs n'aient pas d'information à fournir à leur sujet - n'y change rien : ces deux transferts ont été voulus par de cujus , et la société ne dispose plus de l'argent. Leur amortissement fiscal intégral - suggéré par B______, mais apparemment refusé (PP 100'532) - signifie tout au plus que ces dettes étaient considérées comme irrécouvrables, mais non pas qu'elles auraient été causées par des infractions pénales. En résumé, les éventuelles difficultés rencontrées par le représentant officiel de la communauté héréditaire dans l'accomplissement de son mandat ne sauraient suffire à justifier l'ouverture d'une instruction pénale. Le litige est purement civil.</w:t>
      </w:r>
    </w:p>
    <w:p>
      <w:r>
        <w:rPr>
          <w:b/>
        </w:rPr>
        <w:t>E. 4</w:t>
      </w:r>
    </w:p>
    <w:p>
      <w:r>
        <w:t>Comme le recours est manifestement mal fondé, la Chambre de céans pouvait décider d'emblée de le traiter sans échange d'écritures ni débats (art. 390 al. 2 et 5 a contrario CPP).</w:t>
      </w:r>
    </w:p>
    <w:p>
      <w:r>
        <w:rPr>
          <w:b/>
        </w:rPr>
        <w:t>E. 5</w:t>
      </w:r>
    </w:p>
    <w:p>
      <w:r>
        <w:t>N'ayant pas gain de cause, la recourante supportera les frais envers l'État, qui seront fixés en totalité à CHF 2'500.-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