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P/12674/2016 vom 18. Oktober 2018</w:t>
      </w:r>
    </w:p>
    <w:p>
      <w:r>
        <w:t>GE Cour de justice, 2018-10-18, FR</w:t>
      </w:r>
    </w:p>
    <w:p>
      <w:r>
        <w:rPr>
          <w:b/>
        </w:rPr>
        <w:t xml:space="preserve">Quelle: </w:t>
      </w:r>
      <w:r>
        <w:t>https://mcp.opencaselaw.ch/entscheid/ge_gerichte_P_12674_2016</w:t>
      </w:r>
    </w:p>
    <w:p>
      <w:r>
        <w:t>FR: GE_GERICHTE P/12674/2016 du 18 octobre 2018</w:t>
      </w:r>
    </w:p>
    <w:p>
      <w:r>
        <w:t>IT: GE_GERICHTE P/12674/2016 del 18 ottobre 2018</w:t>
      </w:r>
    </w:p>
    <w:p>
      <w:pPr>
        <w:pStyle w:val="Heading2"/>
      </w:pPr>
      <w:r>
        <w:t>Regeste</w:t>
      </w:r>
    </w:p>
    <w:p>
      <w:r>
        <w:t>LStup.19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conteste pas, à juste titre, sa culpabilité, dûment établie par les éléments du dossier, pour le chef d'infraction d'entrée illégale (art. 115 al. 1 let. a LEtr), infraction passible d'une peine privative de liberté d'un an au plus ou d'une peine pécuniaire.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3.1.2. À teneur de l'art. 19 al. 1 let. d LStup celui qui, sans droit, possède, détient ou acquiert des stupéfiants ou s'en procure de toute autre manière sera puni d'une peine privative de liberté de trois ans au plus ou d'une peine pécuniaire.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 5 septembre 2017 consid. 2.2 ; 6B_474/2016 du 6 février 2017 consid. 3.1).</w:t>
      </w:r>
    </w:p>
    <w:p>
      <w:r>
        <w:rPr>
          <w:b/>
        </w:rPr>
        <w:t>E. 3.2</w:t>
      </w:r>
    </w:p>
    <w:p>
      <w:r>
        <w:t>La possession par l'appelant de deux boulettes de cocaïne lors de son arrestation est principalement soutenue par le rapport d'arrestation et par le procès-verbal de son audition à la police. En ce qui concerne le premier, l'argument selon lequel la police aurait été victime d'une certaine confusion régnant dans l'appartement au moment de l'arrestation de l'appelant est purement spéculatif, rien ne donnant à penser que l'opération en cause ait été autre chose qu'une intervention relativement banale. L'appelant ne développe d'ailleurs pas davantage son propos. Ses rétractations ne sont pas plus crédibles, étant observé que le procès-verbal de son audition est détaillé et précis. On comprend d'ailleurs que l'intéressé n'a admis qu'avec réticence les faits, tentant de les nuancer par la précision qu'il ne consommait pas de drogue et ne se livrait plus à la vente, depuis la naissance de son fils. Le procès-verbal paraît ainsi particulièrement fidèle, restituant les atermoiements du prévenu. L'affirmation selon laquelle l'appelant aurait été contraint de signer le document par la police paraît purement gratuite, d'autant qu'aucun détail n'est fourni sur la façon dont cette contrainte aurait été exercée. Les faits n'ont d'ailleurs pas été dénoncés, que ce soit au Ministère public ou à la hiérarchie de la police. Certes, l'appelant n'a pas été confronté au policier, dont il avait requis l'audition, mais il a expressément renoncé à cette mesure. Le rapport d'arrestation comme les aveux sont donc des preuves fiables de la culpabilité de l'appelant. De surcroît, les explications de l'appelant au sujet de son séjour dans un appartement où se trouvait de la drogue ne sont pas crédibles, dans la mesure où il est incapable d'articuler le nom de l'avocate qu'il serait venu rencontrer et de justifier de la provenance des liquidités qu'il détenait. Certes, il a parlé d'un emploi à H______, mais il est censé vivre à G______ ou à M______ [France], d'après ses dires, et partie de l'argent trouvé sur lui était constitué de francs suisses. Ces circonstances accréditent la thèse selon laquelle la présence de l'appelant à Genève était lié à un trafic de cocaïne, fût-il mineur. L'antécédent spécifique de l'appelant est un autre indice dans ce sens.</w:t>
      </w:r>
    </w:p>
    <w:p>
      <w:r>
        <w:rPr>
          <w:b/>
        </w:rPr>
        <w:t>E. 4.1</w:t>
      </w:r>
    </w:p>
    <w:p>
      <w:r>
        <w:t>Les nouvelles dispositions sur le droit des sanctions sont entrées en vigueur le 1 er janvier 2018. Cette réforme marque globalement un durcissement. La peine pécuniaire est désormais limitée à 180 jours (art. 34 al. 1 CP).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Il convient donc d'examiner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 4.2.3. Conformément à l'art. 42 al. 1 aCP, le juge suspend en règle générale l'exécution d'une peine pécuniaire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4.2.4. Selon l'art. 34 aCP, sauf disposition contraire de la loi, la peine pécuniaire ne peut excéder 360 jours-amende. Le juge fixe leur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4.2.5. À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w:t>
      </w:r>
    </w:p>
    <w:p>
      <w:r>
        <w:rPr>
          <w:b/>
        </w:rPr>
        <w:t>E. 4.3</w:t>
      </w:r>
    </w:p>
    <w:p>
      <w:r>
        <w:t>À juste titre, s'agissant de l'infraction à l'art. 19 al. 1 let. d LStup, l'appelant ne conteste pas, pour l'hypothèse où le verdict de culpabilité serait confirmé, la quotité de la peine infligée par le premier juge. Ladite peine est en effet adéquate, eu égard à l'ensemble des circonstances, étant précisé que la faute de l'appelant est moyenne. Il a commis un délit à la LStup, en détenant de la cocaïne, et enfreint les règles de la LEtr, à deux reprises. Ses mobiles sont égoïstes, relevant de la désinvolture face aux règles en vigueur et aux autorités chargées de les appliquer. En particulier, une peine pécuniaire, comme plaidé par l'appelant pour l'infraction à la LEtr, ne serait pas suffisamment dissuasive, étant rappelé qu'une telle peine lui a déjà été infligée, ce qui ne l'a pas empêché de récidiver. De surcroît, la peine pécuniaire ne serait guère compatible avec son statut et sa résidence, alléguée, à l'étranger. Une peine de travail d'intérêt général, par ailleurs non plaidé par l'appelant, ne serait pas compatible avec son statut administratif. En conclusion, la courte peine privative de liberté de 40 jours est adéquate et sera confirmée.</w:t>
      </w:r>
    </w:p>
    <w:p>
      <w:r>
        <w:rPr>
          <w:b/>
        </w:rPr>
        <w:t>E. 4.4</w:t>
      </w:r>
    </w:p>
    <w:p>
      <w:r>
        <w:t>L'appelant a des antécédents spécifiques en matière de LStup et LEtr, ayant été condamné à quatre reprises en l'espace d'environ un an à une peine pécuniaire ainsi qu'à trois peines privatives de liberté. Ceci ne l'a pas empêché de récidiver. Le pronostic est donc défavorable, de sorte que le prononcé d'une peine privative de liberté ferme s'impose. Partant, le sursis, plaidé par l'appelant, n'est pas octroyé.</w:t>
      </w:r>
    </w:p>
    <w:p>
      <w:r>
        <w:rPr>
          <w:b/>
        </w:rPr>
        <w:t>E. 5</w:t>
      </w:r>
    </w:p>
    <w:p>
      <w:r>
        <w:t>L'appelant qui succombe supporte les frais de la procédure envers l'État (art. 428 CPP et art. 14 al. 1 let. e du règlement fixant le tarif des frais en matière pénale [RTFMP – RS/GE E 4 10.03]), comprenant un émolument de CHF 1'000.-.</w:t>
      </w:r>
    </w:p>
    <w:p>
      <w:r>
        <w:rPr>
          <w:b/>
        </w:rPr>
        <w:t>E. 6</w:t>
      </w:r>
    </w:p>
    <w:p>
      <w:r>
        <w:t>L'état de frais produit par la défenseure d'office est adéquat, satisfaisant aux principes applicables en matière d'assistance judiciaire, de sorte qu'il n'est pas nécessaire de reprendre le détail des postes qui le composent. Partant, l'indemnité sera arrêtée à CHF 517.- correspondant à deux heures d'activité au tarif de CHF 200.-/heure plus la majoration forfaitaire de 20% et l'équivalent de la TVA au taux de 7.7% à CHF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