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P/12639/2015 vom 14. November 2016</w:t>
      </w:r>
    </w:p>
    <w:p>
      <w:r>
        <w:t>GE Cour de justice, 2016-11-14, FR</w:t>
      </w:r>
    </w:p>
    <w:p>
      <w:r>
        <w:rPr>
          <w:b/>
        </w:rPr>
        <w:t xml:space="preserve">Quelle: </w:t>
      </w:r>
      <w:r>
        <w:t>https://mcp.opencaselaw.ch/entscheid/ge_gerichte_P_12639_2015</w:t>
      </w:r>
    </w:p>
    <w:p>
      <w:r>
        <w:t>FR: GE_GERICHTE P/12639/2015 du 14 novembre 2016</w:t>
      </w:r>
    </w:p>
    <w:p>
      <w:r>
        <w:t>IT: GE_GERICHTE P/12639/2015 del 14 novembre 2016</w:t>
      </w:r>
    </w:p>
    <w:p>
      <w:pPr>
        <w:pStyle w:val="Heading2"/>
      </w:pPr>
      <w:r>
        <w:t>Regeste</w:t>
      </w:r>
    </w:p>
    <w:p>
      <w:r>
        <w:t>SÉJOUR ILLÉGAL ; OPPOSITION À UN ACTE DE L'AUTORITÉ ; DIRECTIVE (UE) 2015/720 ; FIXATION DE LA PEINE ; PRONOSTIC ; RESPONSABILITÉ RESTREINTE(DROIT PÉNAL) | LEtr.115.1 B CP.286.1 CP.19.2 CP.47 CP.41.1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286 al. 1 CP prévoit que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Le comportement incriminé à l'art. 286 CP suppose une résistance qui implique une certaine activité (ATF 133 IV 97 consid. 4.2 p. 100, ATF 127 IV 115 consid. 2 p. 117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3e éd., 2010, n. 13 ad art. 286). L'infraction réprimée à l'art. 286 CP requiert l'intention ; le dol éventuel suffit. 2.2.2. Le juge atténue la peine si, au moment d'agir, l'auteur ne possédait que partiellement la faculté d'apprécier le caractère illicite de son acte ou de se déterminer d'après cette appréciation (art. 19 al. 2 CP). Les principes qui gouvernent l'application de l'art. 19 al. 2 CP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 arrêt du Tribunal fédéral 6B_741/2010 du 9 novembre 2010 consid. 3.1.2). Selon la jurisprudence, une concentration d'alcool de 2 à 3 ‰ entraîne une présomption de diminution de responsabilité, alors qu'une concentration inférieure à 2 ‰ induit la présomption qu'une diminution de responsabilité n'entre pas en ligne de compte. Il ne s'agit là toutefois que de présomptions qui peuvent être renversées dans un cas donné en raison d'indices contraires (ATF 122 IV 49 consid. 1b p. 50 s. ; arrêt du Tribunal fédéral 6B_616/2015 du 5 avril 2016 consid. 2.3). 2.3.1. En l'espèce, la CPAR n'a aucun motif de douter de l'exactitude du rapport de police ni du témoignage de son auteur, lequel a indiqué que l'appelant s'était opposé à son arrestation et à sa fouille, refusant d'abord de se laisser menotter, ce qui avait valu l'intervention des agents par la force, puis se jetant à terre durant le trajet jusqu'au véhicule, l'obligeant lui et ses collègues à le porter en le saisissant par les bras, et enfin, au poste de police, à le maîtriser par une clé d'épaule après qu'il se fut agrippé au pullover de l'un de ses collègues. Cette conclusion s'impose d'autant plus que l'appelant lui-même ne se souvient pas des circonstances de son arrestation, et ne peut donc utilement contester la version des gendarmes, assermentés. En contraignant la police à faire usage de la force à plusieurs reprises, l'appelant a rendu plus difficile son interpellation et sa fouille, comportement actif constitutif de l'infraction à l'art. 286 al. 1 CP. 2.3.2. Le taux d'alcool dans le sang de l'appelant était de 2,01 ‰ lors de son contrôle au poste de police, si bien que la présomption d'une diminution de responsabilité entre en ligne de compte. Il n'est par ailleurs pas établi que l'appelant soit un consommateur régulier d'alcool, ce qui permettrait de retenir qu'il présenterait une résistance accrue. Il convient sur cette base de retenir que la responsabilité de l'appelant au moment des faits était légèrement restreinte.</w:t>
      </w:r>
    </w:p>
    <w:p>
      <w:r>
        <w:rPr>
          <w:b/>
        </w:rPr>
        <w:t>E. 2.4</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Le Tribunal fédéral a précisé, en se fondant sur la jurisprudence européenne (arrêt du 6 décembre 2011 C-329/11 Achughbabian , pt 41), que la Directive sur le retour n'est pas applicable aux ressortissants des pays tiers qui ont commis, outre le séjour irrégulier, un ou plusieurs autres délits en dehors du droit pénal sur les étrangers (arrêt du Tribunal fédéral 6B_320/2013 du 29 août 2013 consid. 3.2.).</w:t>
      </w:r>
    </w:p>
    <w:p>
      <w:r>
        <w:rPr>
          <w:b/>
        </w:rPr>
        <w:t>E. 2.5</w:t>
      </w:r>
    </w:p>
    <w:p>
      <w:r>
        <w:t>En l'espèce, l'appelant séjourne en Suisse depuis plusieurs années, sans être au bénéfice des autorisations nécessaires, malgré une décision de renvoi exécutoire depuis le mois de février 2013, comportement constitutif de séjour illégal au sens de l'art. 115 al. 1 let. b LEtr. Il est vrai que les autorités administratives compétentes n'ont, à teneur du dossier, entrepris aucune démarche en vue du retour, notamment en ayant recours aux mesures de contraintes prévues par les art. 73 à 78 LEtr, au motif que ni lui ni les autorités E______ ne collaboraient à la procédure de renvoi. Toutefois, l'appelant est soustrait à la protection conférée par la Directive sur le retour, pour avoir commis un autre délit que celui de séjour illégal, soit l'empêchement d'accomplir un acte officiel. Sa condamnation pour violation de l'art. 115 al. 1 let. b LEtr sera donc confirmée.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3.4.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3.5. La faute de l'appelant n'est pas anodine. Il persiste à séjourner en Suisse, alors qu'il connait l'illicéité de son statut et a déjà été condamné de ce chef. Il a en outre résisté aux forces de l'ordre, pourtant requises d'intervenir en raison de son comportement perturbateur. Se mobiles sont égoïstes, dénotant mépris pour la législation comme pour l'autorité. La collaboration de l'appelant est médiocre. Il a certes admis le séjour illégal, mais il ne pouvait guère nier l'évidence, et il s'est contenté d'évoquer une amnésie qui doit être qualifiée de circonstancielle vu le taux d'alcoolémie en cause, pour les faits du 26 janvier 2016. Jusqu'à la récente prise de contact de l'appelant avec le Service d'aide au retour de la Croix-Rouge, il n'y avait aucune manifestation d'une quelconque prise de conscience du caractère illicite de ses actes. Bien qu'il ne soit, précisément, pour l'heure guère question que d'une prise de contact, dont on pourrait soupçonner un caractère purement opportuniste, la Cour concèdera une apparente ébauche d'amélioration. La situation personnelle est certes précaire, mais l'appelant en est en grande partie responsable, ayant persisté à séjourner illégalement en Suisse alors qu'il n'y avait aucun avenir. Ses antécédents sont mauvais, et spécifiques en ce qui concerne le séjour illégal. A décharge, il faut tenir compte de la faible diminution de responsabilité pour l'infraction à l'art. 286 CP. Au regard de l'ensemble des circonstances, la sanction qui parait appropriée, en terme d'unités, est une peine de 25 jours. Reste à en déterminer le genre, ce qui nécessite l'examen préalable de la possibilité d'octroyer le sursis, étant rappelé que cette mesure est exclue pour les courtes peines privatives de liberté, et que l'art. 286 CP n'est passible que d'une peine pécuniaire, contrairement à la violation de l'art. 115 let. b LEtr. S'il n'est assurément pas bon, le pronostic ne peut être tenu pour défavorable. D'une part, il y a la démarche auprès de la Croix-Rouge sus-évoquée. D'autre part, une récidive de la seule infraction de séjour illégal n'est pas possible en l'état, l'appelant bénéficiant de la Directive sur le retour, à tout le moins jusqu'à ce que les autorités administratives aient eu recours aux mesures de contraintes. Or, la commission d'un nouveau délit, en sus d'un séjour illégal, ne peut être tenue pour très vraisemblable sur la base des éléments du dossier, d'autant que l'appelant a commis les faits du 26 janvier 2016 dans des circonstances particulières et n'a pas, comme déjà mentionné, d'antécédent spécifique. Bien que le cas soit limite, il sera donc retenu que l'appelant peut encore bénéficier d'un sursis, ce qui conduira la CPAR a lui infliger une peine unique, sous la forme d'une peine pécuniaire, le travail d'intérêt général étant exclu vu sa situation administrative (arrêts du Tribunal fédéral 6B_787/2014 du 27 novembre 2014 consid. 1.3.2 et 6B_262/2012 du 4 octobre 2012 consid. 1.3.2). La quotité du jour-amende sera arrêtée à CHF 10.-, vu la précarité de la situation de l'appelant, et la durée du délai d'épreuve à trois ans, le cas étant limite.</w:t>
      </w:r>
    </w:p>
    <w:p>
      <w:r>
        <w:rPr>
          <w:b/>
        </w:rPr>
        <w:t>E. 4</w:t>
      </w:r>
    </w:p>
    <w:p>
      <w:r>
        <w:t>L'appelant, qui succombe en partie, supportera la moitié des frais de la procédure envers l'Etat, qui comprennent un émolument de CHF 1'500.- (art. 428 CPP, art. 14 let. e du règlement fixant le tarif des frais en matière pénale du 22 décembre 2010 [RTFMP ; E 4 10.03]). Vu la confirmation du verdict de culpabilité, il n'y a pas lieu de revoir la répartition des frais de première instance (art. 428 al. 3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 5.2.2.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rPr>
          <w:b/>
        </w:rPr>
        <w:t>E. 5.3</w:t>
      </w:r>
    </w:p>
    <w:p>
      <w:r>
        <w:t>En l'occurrence, l'activité déployée selon l'état de frais déposé par le défenseur d’office de l'appelant est adéquate et conforme aux principes dégagés par la jurisprudence, sauf pour l'estimation de la durée de l'audience qui sera ramenée à 50 minutes, si bien qu'une indemnité de CHF 1'555.20 correspondant à six heures d’activité au tarif de CHF 200.-/heure, augmentées de la majoration forfaitaire de 20% (CHF 240.-) et l’équivalent de la TVA au taux de 8%, de CHF 115.20, sera allouée à M e C______.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