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P/12604/2016 vom 12. Dezember 2022</w:t>
      </w:r>
    </w:p>
    <w:p>
      <w:r>
        <w:t>GE Cour de justice, 2022-12-12, FR</w:t>
      </w:r>
    </w:p>
    <w:p>
      <w:r>
        <w:rPr>
          <w:b/>
        </w:rPr>
        <w:t xml:space="preserve">Quelle: </w:t>
      </w:r>
      <w:r>
        <w:t>https://mcp.opencaselaw.ch/entscheid/ge_gerichte_P_12604_2016</w:t>
      </w:r>
    </w:p>
    <w:p>
      <w:r>
        <w:t>FR: GE_GERICHTE P/12604/2016 du 12 décembre 2022</w:t>
      </w:r>
    </w:p>
    <w:p>
      <w:r>
        <w:t>IT: GE_GERICHTE P/12604/2016 del 12 dicembre 2022</w:t>
      </w:r>
    </w:p>
    <w:p>
      <w:pPr>
        <w:pStyle w:val="Heading2"/>
      </w:pPr>
      <w:r>
        <w:t>Regeste</w:t>
      </w:r>
    </w:p>
    <w:p>
      <w:r>
        <w:t>PEINE PÉCUNIAIRE | CP.34; CP.49.al1; CP.48.letE</w:t>
      </w:r>
    </w:p>
    <w:p>
      <w:pPr>
        <w:pStyle w:val="Heading2"/>
      </w:pPr>
      <w:r>
        <w:t>Erwägungen</w:t>
      </w:r>
    </w:p>
    <w:p>
      <w:r>
        <w:rPr>
          <w:b/>
        </w:rPr>
        <w:t>E. 1</w:t>
      </w:r>
    </w:p>
    <w:p>
      <w:r>
        <w:t>Une fois le jugement par défaut notifié, le condamné a la possibilité soit de demander un nouveau jugement, aux conditions de l'art. 368 CPP, soit de faire appel, soit de faire les deux (art. 371 al. 1 CPP; arrêts du Tribunal fédéral 6B_203/2016 du 14 décembre 2016 consid. 1, 6B_1277/2015 du 29 juillet 2016 consid. 3.3.1). L'appel permet notamment de contester l'application de l'art. 366 CPP, tandis que la demande de nouveau jugement porte sur la réalisation des conditions de l'art. 368 CPP (cf. ATF 6B_1277/2015 précité consid. 3.3.1). En l'espèce, l’appelant n’a pas formé de demande de nouveau jugement. L'appel est partant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À l'aune de l'art. 2 CP, la réforme du droit des sanctions entrée en vigueur le 1 er janvier 2018 est en règle générale moins favorable à la personne condamnée (M. DUPUIS / L. MOREILLON / C. PIGUET / S. BERGER / M. MAZOU / V. RODIGARI [éds], Code pénal - Petit commentaire , 2ème éd., Bâle 2017, Rem. prél. ad art. 34 à 41, n. 2 ss). En l’espèce, compte tenu du quantum de la peine prononcée par les premiers juges, le nouveau droit n’est toutefois pas défavorable à l’appelant et sera dès lors appliqué.</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2.4</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2.5</w:t>
      </w:r>
    </w:p>
    <w:p>
      <w:r>
        <w:t>Conformément à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(cf. art. 398 al. 2 CPP ; ATF 140 IV 145 consid. 3.1).</w:t>
      </w:r>
    </w:p>
    <w:p>
      <w:r>
        <w:rPr>
          <w:b/>
        </w:rPr>
        <w:t>E. 2.6</w:t>
      </w:r>
    </w:p>
    <w:p>
      <w:r>
        <w:t>En l’espèce, les faits de la cause se sont déroulés entre le 17 février 2016 et le 27 septembre 2018. Il s’agit de délits, tous passibles d’une peine privative de liberté de trois ans au plus ou d’une peine pécuniaire et qui se prescrivent donc par dix ans (art. 97 al. 1 let. c CP). Il s’est certes écoulé plus de six ans depuis l’infraction du 17 février 2016. L’appelant n’a toutefois pas eu un bon comportement depuis cette date puisqu’il a commis deux autres infractions LCR. De plus, si le jugement de première instance n’est intervenu que près de quatre ans après les derniers faits, et la présente décision plus de quatre ans après, cela tient aussi au défaut de l’appelant aux audiences convoquées par le TCO. Dans ces circonstances, l’appelant ne remplit pas les conditions de la circonstance atténuante du long temps écoulé, ne s’étant bien comporté que depuis fin septembre 2018, ce qui correspond à moins de la moitié de la durée de la prescription.</w:t>
      </w:r>
    </w:p>
    <w:p>
      <w:r>
        <w:rPr>
          <w:b/>
        </w:rPr>
        <w:t>E. 2.7</w:t>
      </w:r>
    </w:p>
    <w:p>
      <w:r>
        <w:t>Compte tenu des pièces et éléments produits à l’appui du mémoire d’appel, il faut retenir que l’appelant remplit les conditions du prononcé d’une peine pécuniaire, puisqu’il réalise un revenu régulier de son activité professionnelle. Il réside certes à l’étranger, ce qui rend plus difficile le recouvrement d’une telle sanction, une poursuite pour dettes n’étant pas envisageable. L’appelant se dit toutefois disposé et en mesure de s’acquitter d’une peine pécuniaire et, même s’il n’a pas eu une attitude très collaborante en faisant défaut lors des débats de première instance, il faut lui donner acte de cet engagement qui est étayé par les pièces relatives à sa situation personnelle, étant relevé que s’il devait faillir à son obligation, l’appelant s’exposerait rapidement à devoir exécuter sa sanction sous forme de peine privative de liberté de substitution (art. 36 CP). Cette peine étant différente de celle prononcée en 2016, il n’y a pas place pour une peine complémentaire.</w:t>
      </w:r>
    </w:p>
    <w:p>
      <w:r>
        <w:rPr>
          <w:b/>
        </w:rPr>
        <w:t>E. 2.8</w:t>
      </w:r>
    </w:p>
    <w:p>
      <w:r>
        <w:t>La faute de l’appelant est importante. Il a violé de façon répétée plusieurs règles en matière de circulation routière, commettant un excès de vitesse très important en février 2016, puis circulant sans égard pour la décision de retrait de permis dont il avait fait l’objet ou l’absence d’assurance valable. Il a agi par égoïsme et convenance personnelle, sans égard pour la sécurité routière et les règles en vigueur ou les décisions de l’autorité. La détermination produite en appel, qui banalise les faits, démontre que sa prise de conscience est loin d’être achevée. Sa situation personnelle est sans particularité et ne saurait expliquer ses agissements. Il bénéficiait selon ses indications d’un emploi qui lui permettait de vivre au moment des faits, et rien ne justifiait un tel mépris de la sécurité d’autrui et des décisions de l’autorité. L’appelant ne conteste à raison pas le prononcé d’une peine ferme, étant relevé que s’il remplit la condition objective du sursis selon le nouveau droit, la répétition des infractions sur une longue période, la banalisation dont il fait preuve ainsi que ses deux antécédents ne peuvent que conduire au prononcé d’un pronostic défavorable. Une peine pécuniaire ferme est nécessaire pour qu’il prenne enfin la mesure de sa faute et comprenne l’importance du respect des règles. Les infractions commises sont objectivement d’égale gravité, étant passibles de la même peine menace. Compte tenu de son importance, l’excès de vitesse du 17 février 2016 est l’infraction la plus grave et entraîne la fixation d’une peine de base de 90 jours-amende, qui doit être aggravée à chaque fois de 45 jours (peine théorique de 60 jours-amende à chaque fois) pour la circulation sous retrait de permis et défaut d’assurance. L’appelant ne fournit pas d’indication précise sur sa situation financière, tout en exposant qu’elle est beaucoup plus favorable qu’au moment des faits. Compte tenu de l’ampleur de son activité commerciale et des différents éléments de la procédure, notamment de son domicile en France, il sera tenu compte d’un revenu mensuel de l’ordre de EUR 3'000.-, ce qui conduit au prononcé d’un jour-amende à CHF 50.-. L’appel sera ainsi admis et la peine arrêtée à 180 jours-amende à CHF 50.- l’unité.</w:t>
      </w:r>
    </w:p>
    <w:p>
      <w:r>
        <w:rPr>
          <w:b/>
        </w:rPr>
        <w:t>E. 3</w:t>
      </w:r>
    </w:p>
    <w:p>
      <w:r>
        <w:t>2. En l’espèce, ce sont les pièces et explications produites par l’appelant à l’appui de son appel, qu’il avait omis de fournir aux premiers juges en raison de sa défaillance répétée, qui conduisent à l’admission de son appel. Les conditions de ce prononcé n’ont donc été réalisées qu’en procédure d’appel, ce qui commande de laisser l’intégralité des frais de la procédure d’appel à sa charge. Pour les mêmes motifs, il n’y a pas lieu de revoir sa participation aux frais de la procédure de première instance.</w:t>
      </w:r>
    </w:p>
    <w:p>
      <w:r>
        <w:rPr>
          <w:b/>
        </w:rPr>
        <w:t>E. 3.1</w:t>
      </w:r>
    </w:p>
    <w:p>
      <w:r>
        <w:t>Selon l'art. 428 al. 1, première phrase, CPP, les frais de la procédure de recours sont mis à la charge des parties dans la mesure où elles ont obtenu gain de cause ou succombé. L'art. 428 al. 2 CPP autorise l'autorité compétente à condamner une partie recourante qui obtient une décision favorable au paiement des frais de la procédure si les conditions qui lui ont permis d'obtenir gain de cause n'ont été réalisées que dans la procédure de recours (let. a) ou si la modification de la décision est de peu d'importance (let. b).</w:t>
      </w:r>
    </w:p>
    <w:p>
      <w:r>
        <w:rPr>
          <w:b/>
        </w:rPr>
        <w:t>E. 4.1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 travail relevant usuellement du secrétariat ne donne pas lieu à indemnisation, le tarif horaires tenant compte des frais généraux de l'Étude, et ce même si l'avocat choisit de l'accomplir lui-même ( ACPR/292/2016 du 17 mai 2016 ; AARP/125/2014 du 21 mars 2014 ; AARP/379/2013 du 20 août 2013).</w:t>
      </w:r>
    </w:p>
    <w:p>
      <w:r>
        <w:rPr>
          <w:b/>
        </w:rPr>
        <w:t>E. 4.3</w:t>
      </w:r>
    </w:p>
    <w:p>
      <w:r>
        <w:t>Le temps de déplacement de l'avocat à l’audience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4.4</w:t>
      </w:r>
    </w:p>
    <w:p>
      <w:r>
        <w:t>En l'occurrence il n’y a pas lieu d’indemniser la prise de connaissance de la décision entreprise ou la lecture de pièces, qui sont des activités incluses dans la rémunération forfaitaire, ni la confection d’un bordereau de pièces ou la préparation de copies d’une écriture, activités relevant du secrétariat. En l’absence de demande de relief, il n’y a pas non plus lieu d’indemniser cette activité, l’assistance juridique n’ayant pas vocation à prendre en charge des recherches générales ou la formation d’un avocat. L’état de frais présenté mélange toutefois de telles activités avec la rédaction du mémoire d’appel, rendant impossible la détermination des activités justifiant une indemnisation de celles relevant du forfait ou du secrétariat. L’écriture d’appel comporte sept pages, dont la moitié sont constituées de la page de garde, d’une reproduction de la décision entreprise et des conclusions. Compte tenu de la faible amplitude de cette écriture et de la difficulté très relative de son objet, quatre heures seront allouées pour sa rédaction, y-compris un entretien avec le prévenu. Les vacations pour déposer les écritures au greffe ne donnent pas lieu à indemnisation, un envoi postal suffisant à répondre aux exigences légales et aucun débat d’appel n’ayant eu lieu. En conclusion, la rémunération de M e B______ sera arrêtée à CHF 1'033.90 correspondant à quatre heures d'activité au tarif de CHF 200.-/heure plus la majoration forfaitaire de 20% et l'équivalent de la TVA au taux de 7.7% en CHF 73.90.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