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P/12601/2025 vom 25. Juni 2025</w:t>
      </w:r>
    </w:p>
    <w:p>
      <w:r>
        <w:t>GE Cour de justice, 2025-06-25, FR</w:t>
      </w:r>
    </w:p>
    <w:p>
      <w:r>
        <w:rPr>
          <w:b/>
        </w:rPr>
        <w:t xml:space="preserve">Quelle: </w:t>
      </w:r>
      <w:r>
        <w:t>https://mcp.opencaselaw.ch/entscheid/ge_gerichte_P_12601_2025</w:t>
      </w:r>
    </w:p>
    <w:p>
      <w:r>
        <w:t>FR: GE_GERICHTE P/12601/2025 du 25 juin 2025</w:t>
      </w:r>
    </w:p>
    <w:p>
      <w:r>
        <w:t>IT: GE_GERICHTE P/12601/2025 del 25 giugno 2025</w:t>
      </w:r>
    </w:p>
    <w:p>
      <w:pPr>
        <w:pStyle w:val="Heading2"/>
      </w:pPr>
      <w:r>
        <w:t>Regeste</w:t>
      </w:r>
    </w:p>
    <w:p>
      <w:r>
        <w:t>PROFIL D'ADN;PESÉE DES INTÉRÊTS;PROPORTIONNALITÉ;ANTÉCÉDENT | CPP.255.al1;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a en effet déjà été condamné à trois reprises, le 12 août 2015, le 26 mai 2016 et le 10 avril 2017, pour des délits contre la loi fédérale sur les stupéfiants, ainsi que pour des infractions à la législation fédérale sur les étrangers. Il a par ailleurs été condamné à trois autres reprises, entre 2020 et 2025, pour séjour illégal et/ou entrée illégale. Ces nombreux antécédents, auxquels s'ajoute la situation personnelle du recourant,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 bis CPP, lequel autorise l'établissement d'un profil d'ADN pour les infractions passées. Partant, la mesure querellée n'apparaît pas inutile ni disproportionnée. À titre superfétatoire, le recourant ne saurait tirer argument du fait que son profil d'ADN aurait d'ores et déjà été établi. Dès lors que les profils d'ADN sont soumis à effacement après un certain délai (cf. art. 16 de la Loi sur les profils d'ADN; RS 363), il existerait un intérêt, quand bien même l'établissement de son profil d'ADN aurait déjà été ordonné – ce qu'il n'établit au demeurant nullement, affirmant " ignorer " si tel aurait déjà été le cas – et son effacement n'interviendrait pas avant de nombreuses années, à le soumettre derechef à cette mesure, pour autant bien évidemment que les conditions soient à nouveau réalisées, ce qui est le cas en l'espèce. Cet intérêt public primerait celui – privé – du recourant à ce que son profil d'ADN ne soit pas établi une nouvelle fois. Ainsi, quand bien même le Ministère public aurait, dans de telles circonstances, ordonné une nouvelle fois l'établissement du profil d'ADN du recourant, un tel acte n'apparaitrait nullement disproportionné.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500.- (art. 428 al. 1 CPP et 13 al. 1 du Règlement fixant le tarif des frais en matière pénale, RTFMP ;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