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P/12582/2017 vom 21. April 2018</w:t>
      </w:r>
    </w:p>
    <w:p>
      <w:r>
        <w:t>GE Cour de justice, 2018-04-21, FR</w:t>
      </w:r>
    </w:p>
    <w:p>
      <w:r>
        <w:rPr>
          <w:b/>
        </w:rPr>
        <w:t xml:space="preserve">Quelle: </w:t>
      </w:r>
      <w:r>
        <w:t>https://mcp.opencaselaw.ch/entscheid/ge_gerichte_P_12582_2017</w:t>
      </w:r>
    </w:p>
    <w:p>
      <w:r>
        <w:t>FR: GE_GERICHTE P/12582/2017 du 21 avril 2018</w:t>
      </w:r>
    </w:p>
    <w:p>
      <w:r>
        <w:t>IT: GE_GERICHTE P/12582/2017 del 21 aprile 2018</w:t>
      </w:r>
    </w:p>
    <w:p>
      <w:pPr>
        <w:pStyle w:val="Heading2"/>
      </w:pPr>
      <w:r>
        <w:t>Regeste</w:t>
      </w:r>
    </w:p>
    <w:p>
      <w:r>
        <w:t>ASSISTANCE JUDICIAIRE ; PLAIGNANT | CPP.136; Cst.29</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reproche au Ministère public de lui avoir refusé la nomination d'un avocat d'office.![endif]&gt;![if&gt;</w:t>
      </w:r>
    </w:p>
    <w:p>
      <w:r>
        <w:rPr>
          <w:b/>
        </w:rPr>
        <w:t>E. 2.1</w:t>
      </w:r>
    </w:p>
    <w:p>
      <w:r>
        <w:t>A teneur de l'art. 29 al. 3 Cst., toute personne qui ne dispose pas de ressources suffisantes a droit, à moins que sa cause paraisse dépourvue de toute chance de succès, à l'assistance gratuite d'un défenseur, dans la mesure où la sauvegarde de ses droits le requiert. Selon l'art. 136 al. 1 CPP, qui concrétise la disposition constitutionnelle en matière pénale,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l'exonération des frais de procédure (let. b) et/ou la désignation d'un conseil juridique gratuit, lorsque la défense des intérêts de la partie plaignante l'exige (let. c).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(ATF 123 I 145 consid. 2b/bb p. 147, repris dans le Message du 21 décembre 2005 relatif à l'unification de la procédure pénale, FF 2006 1160 ch. 2.3.4.2; cf. également arrêts 1B_450/2015 du 22 avril 2016 consid. 2.3; 6B_122/2013 du 11 juillet 2013 consid. 4.1.2; 1B_26/2013 du 28 mai 2013 consid. 2.3 et les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 147 et 3a/bb p. 149 s.; arrêts 1B_450/2015 du 22 avril 2016 consid. 2.3; 1B_173/2014 du 17 juillet 2014 consid. 3.1.2). Selon la jurisprudence, une cause présente des difficultés justifiant l'intervention d'un avocat lorsqu'elle soulève des questions juridiques délicates comme par exemple le devoir d'agir du personnel hospitalier pour prévenir un suicide (arrêt 1A.121/1998 du 15 septembre 1998 consid. 3d) ou la définition des éléments constitutifs du viol (arrêt 1B_278/2007 du 29 janvier 2008 consid. 3.3). Le Tribunal fédéral a également estimé qu'une cause dans laquelle des accusations d'actes d'ordre sexuel à l'encontre d'un médecin se fondaient uniquement sur le témoignage de la victime présentait des difficultés de fait pouvant nécessiter l'intervention d'un conseil d'office (arrêt 1P.663/2006 du 23 novembre 2006 consid. 4.2).</w:t>
      </w:r>
    </w:p>
    <w:p>
      <w:r>
        <w:rPr>
          <w:b/>
        </w:rPr>
        <w:t>E. 2.3</w:t>
      </w:r>
    </w:p>
    <w:p>
      <w:r>
        <w:t>Le principe de l'égalité des armes, tel qu'il est ancré aux art. 29 al. 1 Cst. et 6 § 1 CEDH, requiert que chaque partie se voie offrir une possibilité raisonnable de présenter sa cause dans des conditions qui ne la placent pas dans une situation de net désavantage par rapport à son adversaire (ATF 137 IV 172 consid. 2.6 p. 176). Le principe précité n'est toutefois pas absolu. Dans un arrêt 1B_702/2011 du 31 mai 2012, dans lequel une partie plaignante invoquait une violation du principe de l'égalité des armes, le Tribunal fédéral a retenu (consid. 3.2) que ce principe ne saurait vider de sa substance la disposition de droit fédéral qui expose précisément les conditions auxquelles la partie plaignante peut se voir octroyer un conseil juridique gratuit (art. 136 CPP). Si ces conditions ne sont pas remplies, la partie en question ne peut pas prétendre à un conseil gratuit au seul motif que le prévenu est assisté d'un avocat. En adoptant l'art. 136 CPP, le législateur a en effet pris en considération les situations différentes du prévenu et de la partie plaignante, raison pour laquelle il a prévu des conditions différenciées pour la défense d'office de ces deux catégories de parties. Il a en particulier tenu compte du fait que le monopole de la justice répressive est par principe exercé par l'Etat, si bien que l'assistance judiciaire de la partie plaignante se justifie en priorité pour faire valoir ses conclusions civiles ( cf. Message du 21 décembre 2005 relatif à l'unification du droit de la procédure pénale, FF 2006 1160). La défense des intérêts des parties précitées obéissant à des règles distinctes, il n'y a pas d'inégalité de traitement entre elles. Les règles du CPP sont au demeurant équilibrées à cet égard et elles ne placent pas la partie plaignante en situation de net désavantage par rapport au prévenu au sens de la jurisprudence relative à l'art. 6 par. 1 CEDH ( cf. arrêt CourEDH Coëme c/ Belgique du 22 juin 2000, Recueil CourEDH 2000-VII p. 1, § 102).</w:t>
      </w:r>
    </w:p>
    <w:p>
      <w:r>
        <w:rPr>
          <w:b/>
        </w:rPr>
        <w:t>E. 2.4</w:t>
      </w:r>
    </w:p>
    <w:p>
      <w:r>
        <w:t>Selon l'art. 217 al. 1 CP, est puni, sur plainte, d'une peine privative de liberté de trois ans au plus ou d'une peine pécuniaire, celui qui n'a pas fourni les aliments ou les subsides qu'il doit en vertu du droit de la famille, quoiqu'il en eût les moyens ou pût les avoir.</w:t>
      </w:r>
    </w:p>
    <w:p>
      <w:r>
        <w:rPr>
          <w:b/>
        </w:rPr>
        <w:t>E. 2.5</w:t>
      </w:r>
    </w:p>
    <w:p>
      <w:r>
        <w:t>En l'espèce, du point de vue factuel, l'instruction a comporté une audience de confrontation, lors de laquelle le prévenu a reconnu les faits qui lui étaient reprochés et a, pour le surplus, détaillé sa situation financière. En outre, l'infraction en cause ne présentait pas de question juridique délicate ni de complexité particulière. L'opposition à l'ordonnance pénale ainsi que le jugement civil ne modifie pas cette appréciation. Bien que le recourant allègue une " détresse émotionnelle", force est de constater qu'il ne démontre pas s'être trouvé dans un état psychologique le distinguant du plaignant ordinaire, non assisté d'un avocat, dans une situation similaire. Par ailleurs, toute procédure pénale, de surcroit dirigée contre un membre de la même famille, implique inévitablement des tensions, et les relations que le recourant qualifie d' "extrêmement tendues" avec son père ne paraissent pas former une circonstance extraordinaire. Aucune autre circonstance personnelle n'est propre à modifier ce raisonnement. Enfin, il n'explique pas en quoi la concomitance d'une procédure civile "complexe" aurait rendu plus difficile sa compréhension de la procédure pénale. Au vu de ce qui précède, ni les circonstances de la cause, ni la situation du recourant ne rendaient indispensable sa représentation par un conseil juridique. Pour le surplus, il ressort de la jurisprudence citée supra que la défense des intérêts du prévenu, d'une part, et de la partie plaignante, d'autre part, obéissent à des règles distinctes, de sorte qu'il n'y a pas d'inégalité de traitement entre elles. Les conditions de l'art. 136 CPP n'étant pas remplies, le recourant ne peut, au seul motif que le prévenu était assisté d'un conseil, dont la nomination d'office lui a également été refusée, prétendre à s'en voir octroyer un gratuitement.</w:t>
      </w:r>
    </w:p>
    <w:p>
      <w:r>
        <w:rPr>
          <w:b/>
        </w:rPr>
        <w:t>E. 3</w:t>
      </w:r>
    </w:p>
    <w:p>
      <w:r>
        <w:t>Justifiée, l'ordonnance querellée sera donc confirmée. ![endif]&gt;![if&gt;</w:t>
      </w:r>
    </w:p>
    <w:p>
      <w:r>
        <w:rPr>
          <w:b/>
        </w:rPr>
        <w:t>E. 4</w:t>
      </w:r>
    </w:p>
    <w:p>
      <w:r>
        <w:t>Les frais de la procédure de recours resteront à la charge de l'État (art. 20 RAJ). ![endif]&gt;![if&gt;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