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P/12578/2018 vom 13. August 2018</w:t>
      </w:r>
    </w:p>
    <w:p>
      <w:r>
        <w:t>GE Cour de justice, 2018-08-13, FR</w:t>
      </w:r>
    </w:p>
    <w:p>
      <w:r>
        <w:rPr>
          <w:b/>
        </w:rPr>
        <w:t xml:space="preserve">Quelle: </w:t>
      </w:r>
      <w:r>
        <w:t>https://mcp.opencaselaw.ch/entscheid/ge_gerichte_P_12578_2018</w:t>
      </w:r>
    </w:p>
    <w:p>
      <w:r>
        <w:t>FR: GE_GERICHTE P/12578/2018 du 13 août 2018</w:t>
      </w:r>
    </w:p>
    <w:p>
      <w:r>
        <w:t>IT: GE_GERICHTE P/12578/2018 del 13 agosto 2018</w:t>
      </w:r>
    </w:p>
    <w:p>
      <w:pPr>
        <w:pStyle w:val="Heading2"/>
      </w:pPr>
      <w:r>
        <w:t>Regeste</w:t>
      </w:r>
    </w:p>
    <w:p>
      <w:r>
        <w:t>CLASSEMENT DE LA PROCÉDURE ; DÉCOMPTE(SENS GÉNÉRAL) ; FAUX INTELLECTUEL DANS LES TITRES ; CHANTAGE ; TENTATIVE(DROIT PÉNAL) ; ESCROQUERIE ; ABUS DE CONFIANCE ; COMPTABILITÉ ; OBLIGATION DE TENIR UNE COMPTABILITÉ | CPP.310.al1; CP.251; CP.156; CP.146; CP.138; CP.325; CP.22</w:t>
      </w:r>
    </w:p>
    <w:p>
      <w:pPr>
        <w:pStyle w:val="Heading2"/>
      </w:pPr>
      <w:r>
        <w:t>Erwägungen</w:t>
      </w:r>
    </w:p>
    <w:p>
      <w:r>
        <w:rPr>
          <w:b/>
        </w:rPr>
        <w:t>E. 1.1</w:t>
      </w:r>
    </w:p>
    <w:p>
      <w:r>
        <w:t>Le recours a été déposé selon la forme et dans le délai prescrits – la décision querellée ayant été communiquée par pli simple – (art. 385 al. 1 et 396 al. 1 CPP) et concerne une ordonnance sujette à recours auprès de la Chambre de céans (art. 393 al. 1 let. a CPP). ![endif]&gt;![if&gt;</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(ATF 141 IV 1 consid. 3.1 p. 5 s.). Il convient donc d'interpréter le texte de l'infraction pour en déterminer le titulaire et ainsi savoir qui a qualité de lésé (ATF 118 IV 209 consid. 2).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(ATF 141 IV 454 consid. 2.3.1 p. 457; arrêt du Tribunal fédéral 6B_1239/2017 du 24 mai 2018 consid. 2.1). Celui qui entend se constituer partie plaignante doit rendre vraisemblable le préjudice et le lien de causalité entre celui-ci et l'infraction dénoncée (ATF 141 IV 1 consid. 3.1 p. 6).</w:t>
      </w:r>
    </w:p>
    <w:p>
      <w:r>
        <w:rPr>
          <w:b/>
        </w:rPr>
        <w:t>E. 1.2.2</w:t>
      </w:r>
    </w:p>
    <w:p>
      <w:r>
        <w:t>Le recourant invoque dans sa plainte les infractions de tentative d'extorsion (art. 22 al. 1 cum 156 CP), abus de confiance (art. 138 CP), escroquerie (art. 146 CP) et faux dans les titres (art. 251 CP). Les trois premières figurent parmi les infractions contre le patrimoine (art. 137 à 172 ter CP). Le recourant, qui prétend avoir reçu de fausses factures de la part du mis en cause, est ainsi titulaire du bien juridiquement protégé par les infractions dénoncées et dispose de la qualité de lésé. Il en va de même pour l'infraction de faux dans les titres qui, bien que visant avant tout un bien juridique collectif, peut également porter atteinte à des intérêts individuels si le faux vise précisément à nuire à un particulier, par exemple lorsqu'il est l'un des éléments d'une infractions contre le patrimoine (ATF 119 Ia 342 consid. 2b p. 346 s.; arrêt du Tribunal fédéral 6B_1274/2018 du 22 janvier 2019 consid. 2.3.1). Le recourant, qui soutient que les factures en question ont servi aux infractions précitées contre son patrimoine, dispose dès lors également de la qualité de lésé au regard de l'infraction de faux dans les titres.</w:t>
      </w:r>
    </w:p>
    <w:p>
      <w:r>
        <w:rPr>
          <w:b/>
        </w:rPr>
        <w:t>E. 1.2.3</w:t>
      </w:r>
    </w:p>
    <w:p>
      <w:r>
        <w:t>Tant dans sa plainte qu'à l'appui de son recours, le recourant, qui plaide en personne, signale des irrégularités dans la comptabilité de la société du mis en cause. Se pose dès lors la question de savoir s'il peut se voir reconnaître la qualité de lésé en lien avec une éventuelle infraction commise dans ce cadre. Compte tenu de l'arrêt du 3 juillet 2018 de la Chambre civile de la Cour de justice annulant le jugement de faillite de D______ Sàrl (cf. B.c. supra ), la violation de l'obligation de tenir une comptabilité (art. 166 CP) ne saurait entrer en ligne de compte, cette infraction nécessitant une déclaration de faillite comme condition objective de punissabilité (A. MACALUSO / L. MOREILLON / N. QUELOZ (éds), Commentaire romand, Code pénal II, vol. II, Partie spéciale : art. 111-392 CP , Bâle 2017, n. 31 ad art. 166). Reste à examiner l'art. 325 CP, subsidiaire, qui réprime l'inobservation des prescriptions légales sur la comptabilité. En tant qu'elle vise à punir l'entité dont la situation économique ne peut être appréhendée, car son bilan n'est pas correctement établi, cette disposition protège également, à côté de la correcte application des règles comptables, les intérêts patrimoniaux des créanciers (arrêts du Tribunal fédéral 6S.132/2000 du 24 août 2000 consid. 2a; 1P.456/2003 du 4 mars 2004 consid. 3.3.3 et les références citées; ACPR/502/2012 du 15 novembre 2012 consid. 3.2.4; A. MACALUSO / L. MOREILLON / N. QUELOZ (éds), op. cit. , n. 1 ad art. 325; plus nuancés: M. NIGGLI / H. WIPRÄCHTIGER (éds), Basler Kommentar Strafrecht II : Art. 111-392 StGB , 4 e éd., Bâle 2019, n. 7 ad art. 325). En l'espèce, si le recourant se plaint de l'absence de comptabilité pour D______ Sàrl, c'est uniquement en lien avec les prétendues fausses factures qu'il a reçues et qu'il conteste (à tout le moins en partie), c'est-à-dire en sa qualité de débiteur et non de créancier de cette société. Dans ses écritures de recours, le recourant soutient certes que le mis en cause ne lui aurait pas payé de loyer depuis mars 2018, ce qui pourrait le faire apparaître comme son créancier. Cette simple allégation, outre qu'elle n'est ni étayée, ni documentée, est surtout liée à un conflit avec sa régie à la suite d'une " dénonciation mensongère, calomnieuse et diffamatoire ", dont on comprend que le mis en cause serait l'auteur, et non à la situation financière de la société de ce dernier, rendue par hypothèse opaque par l'absence de comptabilité commerciale et mettant ainsi en péril les intérêts patrimoniaux du recourant. Ainsi, faute pour le recourant d'avoir rendu vraisemblable son préjudice, en tant que créancier du mis en cause, respectivement de D______ Sàrl, et le lien de causalité entre ce préjudice et l'infraction dénoncée, la qualité de partie plaignante eu égard à l'art. 325 CP doit lui être niée et son recours déclaré irrecevable sur ce point.</w:t>
      </w:r>
    </w:p>
    <w:p>
      <w:r>
        <w:rPr>
          <w:b/>
        </w:rPr>
        <w:t>E. 1.3</w:t>
      </w:r>
    </w:p>
    <w:p>
      <w:r>
        <w:t>Le recours est, pour le surplus,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En l'espèce, le recourant reproche au Ministère public de ne pas être entré en matière sur sa plainte pénale, déposée pour faux dans les titres (art. 251 CP), tentative d'extorsion (art. 22 al. 1 cum 156 ch. 1 CP), escroquerie (art. 146 CP) et abus de confiance (art. 138 CP), infractions qui seront examinées dans le même ordre ci-dessous.</w:t>
      </w:r>
    </w:p>
    <w:p>
      <w:r>
        <w:rPr>
          <w:b/>
        </w:rPr>
        <w:t>E. 4.1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![endif]&gt;![if&gt; Cette disposition vise aussi bien un titre faux ou la falsification d'un titre (faux matériel) qu'un titre mensonger (faux intellectuel; ATF 132 IV 57 consid. 5.1 p. 59).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De jurisprudence constante, les factures ne sont, en règle générale, pas des titres (ATF 138 IV 130 consid. 2.2.1 p. 135 et les arrêts cités). Une valeur probante accrue peut cependant exceptionnellement leur être reconnue au regard de l'usage concret auquel elles sont destinées (par exemple une facture destinée à être intégrée dans la comptabilité du destinataire: ATF 138 IV 130 consid. 2.2.1 p. 135 et consid. 2.4.3 p. 139) ou en raison de la fonction de la personne les ayant établies, qui peut être assimilée à celle d'un garant (arrêt du Tribunal fédéral 6B_1096/2015 du 9 décembre 2015 consid. 3.3.2 et les références citées).</w:t>
      </w:r>
    </w:p>
    <w:p>
      <w:r>
        <w:rPr>
          <w:b/>
        </w:rPr>
        <w:t>E. 4.2</w:t>
      </w:r>
    </w:p>
    <w:p>
      <w:r>
        <w:t>En l'espèce, le recourant reproche au mis en cause de lui avoir adressé, par l'intermédiaire de sa société D______ Sàrl, des factures qu'il qualifie de " faux ", soit des factures dont l'auteur réel coïncidait bien avec l'auteur apparent – la société du mis en cause – mais qui avaient trait à des prestations pour certaines inexistantes. Il se plaint ainsi de la véracité du contenu desdites factures. Or, selon la jurisprudence précitée, des factures inexactes ne peuvent être qualifiées de faux intellectuels que dans des circonstances exceptionnelles, qui ne sont pas remplies ici. Rien ne permet en effet de retenir que les factures litigieuses revêtaient une autre fonction que celle, classique, de tarification et qu'une valeur probante accrue devait ainsi leur être reconnue. Elles n'ont manifestement pas été établies dans le but premier d'être intégrées dans la comptabilité du recourant. Par ailleurs, aucun indice ne permet de retenir que le mis en cause, gérant d'une société exploitant un garage, serait dans une position analogue à celle d'un garant eu égard aux factures envoyées à ses clients. Le grief doit ainsi être rejeté.</w:t>
      </w:r>
    </w:p>
    <w:p>
      <w:r>
        <w:rPr>
          <w:b/>
        </w:rPr>
        <w:t>E. 5.1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![endif]&gt;![if&gt; La loi prévoit deux moyens de contrainte: la violence – qui n'entre pas en considération en l'espèce – et la menace d'un dommage sérieux, notion qui se retrouve également à l'art. 181 CP (contrainte). La menace est un moyen de pression psychologique. L'auteur doit faire craindre à la victime un inconvénient, dont l'arrivée paraît dépendre de sa volonté (ATF 122 IV 322 consid. 1a p. 324 ad art. 181 CP). Le dommage doit être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p. 325 ad art. 181 CP). Lorsque la victime ne se laisse pas intimider et n'adopte pas le comportement voulu par l'auteur, ce dernier est punissable de tentative d'extorsion ou de chantage (art. 22 al. 1 CP; en matière de contrainte: ATF 129 IV 262 consid. 2.7 p. 270; 106 IV 125 consid. 2b p. 129).</w:t>
      </w:r>
    </w:p>
    <w:p>
      <w:r>
        <w:rPr>
          <w:b/>
        </w:rPr>
        <w:t>E. 5.2</w:t>
      </w:r>
    </w:p>
    <w:p>
      <w:r>
        <w:t>En l'espèce, on peine à voir en quoi l'envoi de six factures, même relativement anciennes pour certaines et, le cas échéant, infondées, puisse être constitutif d'une menace d'un dommage sérieux au sens de l'art. 156 ch. 1 CP, ni d'ailleurs au sens de l'art. 181 CP (contrainte). De telles factures, qui listent les prestations effectuées par la société du mis en cause sur les voitures du recourant et réclament le paiement du prix y correspondant, ne sauraient contenir un quelconque moyen de pression psychologique à l'encontre de leur destinataire, sauf à paralyser l'ensemble des relations d'affaires par le dépôt de plaintes pénales intempestives. Dans un arrêt récent rendu en matière de contrainte, le Tribunal fédéral a d'ailleurs retenu que l'envoi de factures et de rappels n'était en soi pas propre à menacer le destinataire d'un dommage sérieux (arrêt du Tribunal fédéral 6B_1100/2018 du 17 décembre 2018 consid. 3.4). Il ne saurait en aller autrement en l'espèce, faute pour lesdites factures d'être assorties d'un quelconque moyen de pression, tel que la menace du dépôt d'une plainte pénale. Le recourant semble d'ailleurs lui-même admettre que certaines des prestations contenues dans les factures litigieuses étaient fondées, puisqu'il s'attache, à l'appui de ses écritures, à commenter chacun des postes pris individuellement, n'en contestant qu'une partie. On peine dès lors à voir, dans ce cadre, l'illicéité de la démarche du mis en cause, l'examen d'un caractère disproportionné de certaines prestations facturées ressortant aux juridictions civiles. Le grief sera rejeté.</w:t>
      </w:r>
    </w:p>
    <w:p>
      <w:r>
        <w:rPr>
          <w:b/>
        </w:rPr>
        <w:t>E. 6.1</w:t>
      </w:r>
    </w:p>
    <w:p>
      <w:r>
        <w:t>L'art.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![endif]&gt;![if&gt;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80 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arrêts du Tribunal fédéral 6B_898/2017 du 8 mars 2018 consid. 3.2; 6B_1269/2017 du 16 janvier 2019 consid. 6.1). Il y a tentative d'escroquerie si l'auteur, agissant intentionnellement et dans un dessein d'enrichissement, a commencé l'exécution de cette infraction sans poursuivre son exécution jusqu'à son terme ou que le résultat dommageable ne se produit pas (cf. art. 22 CP).</w:t>
      </w:r>
    </w:p>
    <w:p>
      <w:r>
        <w:rPr>
          <w:b/>
        </w:rPr>
        <w:t>E. 6.2</w:t>
      </w:r>
    </w:p>
    <w:p>
      <w:r>
        <w:t>En l'espèce, même à suivre le recourant quant à l'existence de factures infondées – pour certaines " totalement " infondées ou déjà payées, pour d'autres erronées dans certains de leurs postes seulement – émises par le mis en cause, ce que ce dernier conteste, le comportement en question ne saurait être qualifié de tentative d'escroquerie pour les raisons suivantes. La Chambre de céans doute premièrement que l'envoi a posteriori de factures se rapportant à des travaux de réparation non requis ou déjà payés puisse raisonnablement être qualifié de procédé astucieux: chacun doit en effet être en mesure de contrôler ses paiements déjà opérés, respectivement les travaux effectivement entrepris sur son véhicule automobile, afin de ne pas avoir à s'acquitter de factures relatives à des prestations inexistantes. Deuxièmement, l'on est en droit d'attendre du recourant – qui ne se trouve pas dans une situation de dépendance ou d'infériorité vis-à-vis du mis en cause, mais fait au contraire montre d'une prudence particulière à son encontre – un semblant de vérification du bien-fondé des différents postes des factures qu'il reçoit, ne serait-ce que pour s'assurer qu'ils correspondent aux travaux ou réparations requis en amont. Le fait pour le mis en cause d'avoir prétendument surfacturé certaines prestations dans des factures adressées au recourant ne saurait dès lors constituer un édifice de mensonges, ni même de fausses informations suffisamment astucieuses pour tromper ce dernier. Quant au procédé consistant à faire figurer le compte personnel du mis en cause en lieu et place de celui de D______ Sàrl sur certaines des factures adressées au recourant, on peine à voir en quoi il aurait causé un quelconque dommage à ce dernier, qui ne l'allègue au demeurant pas. Le grief sera, ici aussi, rejeté.</w:t>
      </w:r>
    </w:p>
    <w:p>
      <w:r>
        <w:rPr>
          <w:b/>
        </w:rPr>
        <w:t>E. 7</w:t>
      </w:r>
    </w:p>
    <w:p>
      <w:r>
        <w:t>L'infraction d'abus de confiance (art. 138 ch. 1 al. 1 CP) n'entre manifestement pas en ligne de compte, faute d'indice d'un quelconque acte d'appropriation ou d'utilisation sans droit d'une chose mobilière, respectivement de valeurs patrimoniales, confiées par le recourant au mis en cause. ![endif]&gt;![if&gt;</w:t>
      </w:r>
    </w:p>
    <w:p>
      <w:r>
        <w:rPr>
          <w:b/>
        </w:rPr>
        <w:t>E. 8</w:t>
      </w:r>
    </w:p>
    <w:p>
      <w:r>
        <w:t>Dans ces conditions, le Ministère public pouvait s'abstenir d'entrer en matière sur la plainte du recourant, décision qui s'imposait également au vu de la nature essentiellement civile du litige opposant les parties (cf. ATF 137 IV 285 consid. 2.3 p. 287). La requête du recourant tendant à la production de justificatifs en lien avec les factures reçues sera rejetée, faute pour ces documents de revêtir une quelconque pertinence pour l'issue du recours. ![endif]&gt;![if&gt;</w:t>
      </w:r>
    </w:p>
    <w:p>
      <w:r>
        <w:rPr>
          <w:b/>
        </w:rPr>
        <w:t>E. 9</w:t>
      </w:r>
    </w:p>
    <w:p>
      <w:r>
        <w:t>Justifiée, l'ordonnance querellée sera donc confirmée.![endif]&gt;![if&gt;</w:t>
      </w:r>
    </w:p>
    <w:p>
      <w:r>
        <w:rPr>
          <w:b/>
        </w:rPr>
        <w:t>E. 10</w:t>
      </w:r>
    </w:p>
    <w:p>
      <w:r>
        <w:t>Le recourant,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