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P/12558/2021 vom 14. November 2022</w:t>
      </w:r>
    </w:p>
    <w:p>
      <w:r>
        <w:t>GE Cour de justice, 2022-11-14, FR</w:t>
      </w:r>
    </w:p>
    <w:p>
      <w:r>
        <w:rPr>
          <w:b/>
        </w:rPr>
        <w:t xml:space="preserve">Quelle: </w:t>
      </w:r>
      <w:r>
        <w:t>https://mcp.opencaselaw.ch/entscheid/ge_gerichte_P_12558_2021</w:t>
      </w:r>
    </w:p>
    <w:p>
      <w:r>
        <w:t>FR: GE_GERICHTE P/12558/2021 du 14 novembre 2022</w:t>
      </w:r>
    </w:p>
    <w:p>
      <w:r>
        <w:t>IT: GE_GERICHTE P/12558/2021 del 14 novembre 2022</w:t>
      </w:r>
    </w:p>
    <w:p>
      <w:pPr>
        <w:pStyle w:val="Heading2"/>
      </w:pPr>
      <w:r>
        <w:t>Regeste</w:t>
      </w:r>
    </w:p>
    <w:p>
      <w:r>
        <w:t>FIXATION DE LA PEINE;UTILISATION FRAUDULEUSE D'UN ORDINATEUR;DISTRIBUTEUR AUTOMATIQUE DE BILLETS | CP.147; CPP.10; CP.47; CP.49</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En dépit des objections du MP quant à la recevabilité des conclusions de l'appelant, la participation de ce dernier aux cas contestés sera examinée dès lors qu'elle ressort de la motivation de sa déclaration d'appel.</w:t>
      </w:r>
    </w:p>
    <w:p>
      <w:r>
        <w:rPr>
          <w:b/>
        </w:rPr>
        <w:t>E. 2</w:t>
      </w:r>
    </w:p>
    <w:p>
      <w:r>
        <w:t>L'art. 139 ch. 1 CP réprime celui qui, pour se procurer ou procurer à un tiers un enrichissement illégitime, aura soustrait une chose mobilière appartenant à autrui dans le but de se l'approprier.</w:t>
      </w:r>
    </w:p>
    <w:p>
      <w:r>
        <w:rPr>
          <w:b/>
        </w:rPr>
        <w:t>E. 3</w:t>
      </w:r>
    </w:p>
    <w:p>
      <w:r>
        <w:t>L'art. 147 al. 1 CP réprime le comportement de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L'auteur qui dérobe une carte bancaire et lutilise ensuite frauduleusement commet, en concours réel, un vol au sens de lart. 139 CP, portant sur la carte elle-même et une utilisation frauduleuse dun ordinateur portant sur les valeurs obtenues (M. DUPUIS et al., Petit commentaire du Code pénal , 2ème éd., Bâle 2017, N 1 ss et 30 ad art. 147). 2. 4.1. Est un complice, celui qui prête intentionnellement assistance à l'auteur pour commettre un crime ou un délit (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abstention (ATF 132 IV 49 consid. 1.1 ; 121 IV 109 consid. 3a). Subjectivement, le complice doit avoir l'intention de favoriser la commission, mais le dol éventuel suffit (ATF 121 IV 109 consid. 3a ; 118 IV 309 consid. 1a).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 121 IV 109 consid. 3a ; arrêt du Tribunal fédéral 6B_72/2009 du 20 mai 2009 consid. 2.1). Contrairement au coauteur, le complice ne veut pas l'infraction pour sienne et n'est pas prêt à en assumer la responsabilité (arrêt du Tribunal fédéral 6B_681/2007 du 25 janvier 2008 consid. 2.3). 2.4.2.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Le coauteur doit avoir une certaine maîtrise des opérations et son rôle doit être plus ou moins indispensable (ATF 135 IV 152 consid. 2.3.1 ; 130 IV 58 consid. 9.2.1). Une personne peut ainsi être considérée comme auteure, même si elle n'en est pas l'auteure directe, c'est-à-dire si elle n'a pas accompli elle-même tous les actes décrits dans la disposition pénale (ATF 120 IV 17 consid. 2d). Un acte punissable commis par des coauteurs est réputé exécuté partout où l'un des coauteurs a réalisé un seul des éléments de l'état de fait (L. MOREILLON / A. MACALUSO / N. QUELOZ / N. DONGOIS (éds), Commentaire romand, Code pénal I, art. 1-110 CP , 2 ème éd., Bâle 2021, n. 49 ad art. 8). 2.</w:t>
      </w:r>
    </w:p>
    <w:p>
      <w:r>
        <w:rPr>
          <w:b/>
        </w:rPr>
        <w:t>E. 3.1</w:t>
      </w:r>
    </w:p>
    <w:p>
      <w:r>
        <w:t>Les infractions de vol en bande et par métier (art. 139 ch. 1, 2 et 3 CP) et d'utilisation frauduleuse d'un ordinateur par métier (art. 147 ch. 1 et 2 CP) sont passibles d'une peine privative de liberté de dix ans au plus et celle d'abus de confiance (art. 138 ch. 1 al. 2 CP) de cinq ans au plus.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Bien que la récidive ne constitue plus un motif d'aggravation obligatoire de la peine (art. 67 aCP), les antécédents continuent de jouer un rôle très important dans la fixation de celle-ci (M. NIGGLI / H. WIPRÄCHTIGER, Basler Kommentar Strafrecht I : 1-110 StGB, Jugendstrafgesetz ,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3.2.3. 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p. 57 ; arrêt du Tribunal fédéral 6B_675/2019 du 17 juillet 2010 consid. 4.1). Le droit de se taire et de ne pas s'auto-incriminer, qui fait partie des normes internationales généralement reconnues, selon l'art. 6 par. 1 CEDH (ATF 121 II 257 consid. 4a p. 264),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 3.2.4.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Si la Haute Cour a initialement admis, en présence d'infractions étroitement liées sur les plans matériel et temporel, de sorte qu'elles ne peuvent pas être séparées et être jugées pour elles seules, la fixation d'une peine de manière globale, il est par la suite revenu sur cette jurisprudence en indiquant que le prononcé d'une peine unique dans le sens d'un examen global de tous les délits à juger n'était pas possible (ATF 144 IV 217 consid. 3.5). Le juge a l'obligation d'aggraver la peine en cas de concours d'infraction (ATF 103 IV 225 ; arrêt du Tribunal fédéral 6B_1216/2017 du 11 juin 2018 consid. 1.1.1). 3.2.5. La durée de la peine privative de liberté est en règle générale de trois jours au moins et de 20 ans au plus (art. 40 CP). 3.2.6. Dans l'exercice de son pouvoir d'appréciation, le juge doit respecter, en particulier, le principe d'égalité de traitement (art. 8 al. 1 Cst. féd.; ATF 135 IV 191 consid. 3.2).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Les différences de traitement entre plusieurs accusés comparaissant devant le même tribunal à raison des mêmes faits doivent être fondées sur des motifs pertinents. Il n'y a pas de droit à l'égalité dans l'illégalité, de sorte qu'il n'est pas admissible de réduire une peine considérée comme juste ou équitable au seul motif qu'elle apparaîtrait disproportionnée par rapport à celle infligée à un coaccusé (ATF 135 IV 191 consid. 3.4 p. 195).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(arrêts du Tribunal fédéral 6B_654/2018 du 5 septembre 2018 consid. 3.5.1 ; 6B_1015/2017 du 13 mars 2018 consid. 4.4.1). Toutefois, elle devra s'y référer et motiver pourquoi la peine prononcée à l'encontre du coauteur ne saurait servir de moyen de comparaison (ATF 135 IV 191 consid. 3.3 p. 194 s. ; arrêts du Tribunal fédéral 6B_454/2016 du 20 avril 2017 consid. 5.1 ; 6B_794/2015 du 15 août 2016 consid. 1.1). 3.3.1. En l'occurrence, la faute de l'appelant est particulièrement lourde. Il s'est livré de façon intensive à des vols, l'ensemble de ceux-ci ayant été commis en bande et par métier. Avec son comparse, puis une tierce personne, ils sen sont pris, de concert, au patrimoine dautrui, sassociant dans le but de retirer des sommes conséquentes, au détriment de leurs victimes et par le biais de plusieurs retraits jusqu'à la limite journalière de chaque compte. Ils ont agi par appât du gain facile, sans aucun respect pour le bien d'autrui et commettant les mêmes infractions à plusieurs reprises sur un laps de temps relativement court ; l'appelant a fait preuve d'une volonté délictuelle intense en commettant 21 vols en l'espace de trois mois et demi (un sous la forme de tentative), dont sept de concert avec AA_____. Avec ce dernier, ils ont agi de façon professionnelle, prenant la précaution de réserver un hôtel avant leur arrivée depuis la France, de s'habiller élégamment pour tromper leurs victimes, puis de se répartir les rôles et de se déplacer en trottinette électrique et/ou en voiture afin de quitter les lieux rapidement après leurs méfaits, tout en utilisant des faux documents et des alias pour faciliter leurs déplacements. Les prévenus n'ont certes pas usé de violence mais leur mode opératoire est particulièrement lâche puisqu'ils s'en sont pris à des aînés, se faisant passer pour des personnes serviables afin de gagner leur confiance. Deux circonstances aggravantes caractérisent leurs actes et donc leur faute. À cela s'ajoute que l'appelant a agi avec détermination et persévérance, n'hésitant pas à recruter d'autres personnes, dont notamment sa compagne, pour remplacer AA_____, après l'arrestation de celui-ci. Il a aussi commis ses méfaits alors qu'il était encore sous le coup d'un contrôle judiciaire en France, auquel il s'est soustrait, démontrant ainsi une imperméabilité à la sanction. La situation personnelle de l'appelant ne justifie en rien son comportement. Au contraire, il aurait pu exercer une activité professionnelle en toute légalité, comme il l'avait fait antérieurement. Enfin, seule lintervention de la police a permis de mettre fin à ses agissements, tout comme ceux de AA_____. Malgré les dénégations de l'appelant, sa collaboration ne peut être considérée comme bonne. Il a nié les faits reprochés, avant de les admettre partiellement, puis a varié dans ses déclarations. Quand bien même il n'a pas contesté certains cas, il n'a pas hésité à charger son comparse et ce jusqu'en appel. Il a d'abord prétendu que l'homme sur les images de surveillance, qui accompagnait AA_____, était un des amis de ce dernier, essayant ainsi de détourner la police de sa piste, avant d'admettre son implication uniquement lors de la relecture du procès-verbal de sa troisième audition et après s'être entretenu avec son conseil, étant relevé qu'au vu des éléments recueillis par l'enquête (nombre de vols auxquels il a été confronté, vidéosurveillances et traces ADN) il n'avait guère d'autre option. Or,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Il a également refusé de signer le procès-verbal de police lors de son arrestation, ce qui démontre une volonté de non-coopération. Il en va de même des accès à son téléphone portable dès lors qu'il a d'abord prétendu ne plus les connaître, tout comme son numéro de téléphone, avant de donner un code incomplet au MP. À cet égard, il ne peut être suivi lorsqu'il prétend avoir collaboré puisqu'il s'était trompé uniquement de deux chiffres. La collaboration de l'appelant a ainsi été globalement mauvaise, tout comme sa prise de conscience, laquelle n'apparaît pas crédible, et ce même s'il a exprimé la volonté de ne pas récidiver. Il n'a cessé de mettre la faute sur AA_____, même après avoir admis son implication pour certains vols, affirmant qu'il n'avait pas l'habitude d'agir de la sorte avant d'avoir rencontré son comparse. Or, il a été condamné en 2019 en France pour des faits similaires et lorsqu'il a été confronté à cette condamnation, il s'est à nouveau victimisé, prétextant avoir été condamné à tort car seule l'autre personne avait agi. En audience de jugement, il a contesté avoir ciblé des personnes âgées, admettant ce fait uniquement en appel. Au TCO, il a déclaré avoir commis de " petites bêtises " et ne pas avoir franchi " le cap du grand banditisme ", si bien qu'il ne s'attendait pas à l'annonce d'une telle peine. Malgré la plaidoirie de son conseil, il a réitéré ses dires par-devant la Cour de céans, affirmant qu'" on " lui faisait " porter le chapeau à tort " et qu'il n'avait jamais franchi " un certain cap " puisqu'il avait vu en prison ce que les humains étaient capables de faire pour de l'argent. En soutenant également en appel que AA_____ avait commis dix vols et lui 14, il omet de comptabiliser les sept vols commis de concert avec AA_____, ce qui prouve qu'il nie toujours sa responsabilité pour ces cas et ce malgré ses aveux. Son comportement démontre ainsi qu'il n'a aucune prise de conscience puisqu'il persiste à rejeter la faute sur son comparse et à minimiser ses actes. Ses regrets semblent surtout motivés par la crainte de devoir purger une peine de longue durée et ce même s'il les a exprimés dès qu'il a admis les premiers faits, étant relevé que ses premiers remords ont été couplés à nouveau à une minimisation de ses actes : il a insisté sur le fait qu'il ne dérobait que de l'argent, soit des objets qui n'avaient pas de valeur sentimentale, et qu'il avait agi sans violence, point qu'il a également souligné en audience d'appel. Contrairement à ce que prétend l'appelant, la détention ne semble pas lui avoir permis d'entamer une profonde réflexion, dès lors qu'à peine deux mois après son arrivée à C______, il a fait l'objet de deux sanctions disciplinaires pour possession de stupéfiants et de téléphone portable, puis d'une troisième deux mois plus tard pour trouble de l'ordre ou la tranquillité de l'établissement. Au lieu d'admettre ses fautes, il s'est à nouveau victimisé, prétextant n'avoir pas été informé des règles, raison pour laquelle il avait été sanctionné. Il a certes ouvert un compte LAVI, le 9 février 2022, dans le but de l'alimenter pour dédommager ses victimes. Cela étant, au vu de ses dernières déclarations en appel, on doute de la sincérité de ses actes puisqu'il semble avoir agi uniquement pour prouver avoir réparé ses erreurs, contrairement selon lui à AA_____, et non dans l'optique d'un repentir sincère pour ses victimes. Les nombreux antécédents de l'appelant sont particulièrement mauvais, qui plus est spécifiques. Ces derniers sont inscrits dans son casier judiciaire français et peuvent donc être pris en considération pour la fixation de la peine (ATF 105 IV 225 consid. 2), indépendamment du laps de temps écoulé, l'art. 369 CP ne s'appliquant que pour les inscriptions figurant au casier judiciaire suisse. Il convient de prendre en compte la facilité avec laquelle le prévenu a récidivé, après avoir été condamné à plusieurs reprises à l'étranger, alors qu'il avait le choix d'agir différemment. Même en ne tenant compte que les dernières infractions commises, celles-ci sont au nombre de quatre et trois d'entre elles concernent des peines privatives de liberté, allant jusqu'à trois ans. Sa dernière condamnation date de 2019 pour des faits d'escroquerie et de vol sur une personne vulnérable, soit des faits similaires à ceux qui nous occupent. Il a d'ailleurs obtenu sa libération conditionnelle le 26 décembre 2020 et en a profité pour agir en Suisse quatre mois plus tard. Ces antécédents couplés à l'absence de prise de conscience de l'appelant dénotent un ancrage dans la délinquance. Compte tenu de ce qui précède, et notamment de la gravité des actes commis et de leur répétition, seule une peine privative de liberté entre en considération. Ce type de peine simpose par ailleurs au vu de la quotité retenue. Les infractions aux art. 139 ch. 1, 2 et 3 et 147 ch. 1 et 2 CP sont, abstraitement, dégale gravité ; l'infraction la plus grave, au vu de son résultat, est l'utilisation frauduleuse d'un ordinateur par métier, qui est adéquatement sanctionnée par une peine de base de trois ans. Cette peine doit être augmentée de neuf mois pour tenir compte du vol par métier (peine hypothétique d’une année) et de six mois de l'abus de confiance commis au détriment de la plaignante J______ (peine hypothétique de huit mois). 3.3.2. La Cour de céans est liée par l’interdiction de la reformatio in peius (art. 391 al. 2 CPP). Ainsi, un examen de l'ensemble des éléments conduit à la confirmation de la peine privative de liberté de quatre ans prononcée par le TCO, qui tient adéquatement compte de la faute importante de l'appelant, de l'absence de prise de conscience et des circonstances concrètes du cas d'espèce. 3.3.3. Bien que la faute de l'appelant soit plus lourde que celle de AA_____, compte tenu du nombre d'infractions commises et de sa persistance à continuer son activité illicite, malgré l'arrestation de son comparse et alors qu'il était sous contrôle judiciaire, la peine infligée à AA_____ apparaît clémente. Celui-ci a, certes, un peu mieux collaboré et semble avoir exprimé des regrets plus sincères ; ces éléments ne justifient pas un tel écart entre les prévenus. Une peine plus sévère aurait dû être prononcée. Toutefois, faute d'appel du MP, celle-ci ne sera pas revue et l'appelant ne peut rien en tirer (cf. consid. 3.6 supra ). 4. L'appelant n'ayant pas contesté, à juste titre, son expulsion de Suisse pour une durée de huit ans, celle-ci sera confirmée.</w:t>
      </w:r>
    </w:p>
    <w:p>
      <w:r>
        <w:rPr>
          <w:b/>
        </w:rPr>
        <w:t>E. 5</w:t>
      </w:r>
    </w:p>
    <w:p>
      <w:r>
        <w:t>Les indemnités en lien avec les dommages matériels que l'appelant a été condamné à verser aux plaignants ne sont pas contestées en appel et sont justifiées, si bien qu'elles seront confirmées. Il en va de même de l'indemnité de la plaignante Z______ pour les dépenses obligatoires occasionnées par la procédure.</w:t>
      </w:r>
    </w:p>
    <w:p>
      <w:r>
        <w:rPr>
          <w:b/>
        </w:rPr>
        <w:t>E. 6</w:t>
      </w:r>
    </w:p>
    <w:p>
      <w:r>
        <w:t>Les mesures de confiscation, de destruction et de restitution, qui n'ont pas été remises en cause en appel, seront également confirmées.</w:t>
      </w:r>
    </w:p>
    <w:p>
      <w:r>
        <w:rPr>
          <w:b/>
        </w:rPr>
        <w:t>E. 7.1</w:t>
      </w:r>
    </w:p>
    <w:p>
      <w:r>
        <w:t>L'appelant, qui succombe intégralement, supportera les frais de la procédure envers l'État, comprenant un émolument de jugement de CHF 1'800.- (art. 428 al. 1 CPP).</w:t>
      </w:r>
    </w:p>
    <w:p>
      <w:r>
        <w:rPr>
          <w:b/>
        </w:rPr>
        <w:t>E. 7.2</w:t>
      </w:r>
    </w:p>
    <w:p>
      <w:r>
        <w:t>Sa culpabilité étant acquise, la mise à sa charge des frais de première instance sera aussi confirmée (art. 426 al. 1 CPP a contrario ).</w:t>
      </w:r>
    </w:p>
    <w:p>
      <w:r>
        <w:rPr>
          <w:b/>
        </w:rPr>
        <w:t>E. 8</w:t>
      </w:r>
    </w:p>
    <w:p>
      <w:r>
        <w:t>8.1.1. Selon l'art. 135 al. 1 CPP, le défenseur d'office est indemnisé selon le tarif des avocats de la Confédération ou du canton du for du procès. Devant les juridictions genevoises, l'art. 16 du règlement sur l'assistance juridique (RAJ) s'applique. Cette dernière disposition prescrit que l'indemnité, en matière pénale, est calculée selon le tarif horaire, débours de l'étude inclus, de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L'État n'indemnise ainsi que les démarches nécessaires à la bonne conduite de la procédure pour la partie qui jouit d'une défense d'office. Il ne saurait être question d'indemniser toutes les démarches souhaitables ou envisageables. Le mandataire d'office doit gérer son mandat conformément au principe d'économie de procédure (décision de la Cour des plaintes du Tribunal pénal fédéral BB.2013.22 du 31 octobre 2013 consid. 5.2.3). Ainsi, le temps consacré à la rédaction d'écritures inutiles ou reprenant une argumentation déjà développée, fût-ce devant une autorité précédente, ne saurait donner lieu à indemnisation supplémentaire ( AARP/295/2015 du 12 juillet 2015 consid. 8.2.2.3, 8.2.2.6, 8.3.1.1 et 8.3.2.1). 8.1.2.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En principe, le forfait couvre également la rédaction de la déclaration d'appel, qui, sous l'angle de l'exigence de nécessité, peut consister en une simple lettre, n'ayant pas à être motivée (ordonnance de la Cour des plaintes du Tribunal pénal fédéral BB.2014.51 du 21 novembre 2014 consid. 2.1 ; décisions de la Cour des plaintes du Tribunal pénal fédéral BB.2013.165 du 24 janvier 2014 consid. 4.1.3 et BB.2013.127 du 4 décembre 2013 consid. 4.2 ; AARP/133/2015 du 3 mars 2015). 8.1.3. Lorsque le client de l'avocat est détenu, une visite d'une heure et 30 minutes par mois jusqu'au prononcé de l'arrêt cantonal est admise ce qui comprend le temps de déplacement ( AARP/181/2017 du 30 mai 2017 consid. 8.2.2.2 et 8.3.5 ; cf. également Ordonnance de la Cour des plaintes du Tribunal pénal fédéral BB.2016.369 du 12 juillet 2017 consid. 4.2.4). Il se justifie dans le cas où le lieu de détention se trouve hors du canton de tenir compte de la durée vraisemblable de la vacation dans le calcul de l'indemnité (ordonnance de la Cour des plaintes du Tribunal pénal fédéral BB.2016.58 du 26 août 2016 consid. 6.5 ; ACPR/400/2016 du 29 juin 2016 consid. 3.4.4). Le tarif appliqué doit néanmoins être réduit de moitié, l'avocat pouvant mettre utilement ce temps à profit pour travailler ( AARP/298/2014 du 27 juin 2014 ; AARP/125/2014 du 21 mars 2014 ; cf. ordonnance de la Cour des plaintes BB.2015.44 du 27 octobre 2015 consid. 3.2.4). La Chambre de céans appliquera ce principe par analogie aux déplacements de M e B______ depuis AR_____ [VD], tant pour les visites à C______ que pour l'audience d'appel à Genève ( cf. AARP/234/2017 consid. 9.2.8).</w:t>
      </w:r>
    </w:p>
    <w:p>
      <w:r>
        <w:rPr>
          <w:b/>
        </w:rPr>
        <w:t>E. 8.2</w:t>
      </w:r>
    </w:p>
    <w:p>
      <w:r>
        <w:t>En application des principes qui précèdent, il convient de retrancher de l'état de frais de M e B______ : - trois heures d'entretien avec le client, étant relevé qu'il sera tenu compte à titre exceptionnel d'une heure et 30 minutes par entretien, en sus de la moitié des déplacements, conformément à la jurisprudence susvisée, vu l'éloignement du lieu et le nombre raisonnable de visites effectuées par le conseil de l'appelant sur une période de plus de cinq mois ; - le temps nécessaire à la rédaction de la déclaration d'appel et à la lecture du jugement de première instance, ces activités étant incluses dans le forfait de 20%, étant rappelé que la déclaration d'appel n'avait pas à être motivée ; - le temps consacré à la préparation de l'audience sera ramené à quatre heures, activité devant suffire à un chef d'étude, supposé rapide et expéditif, compte tenu des points contestés en appel et le temps déjà consacré à l'étude du dossier, lequel sera admis dans son intégralité. Il sera tenu compte de la durée des débats ainsi que d'un déplacement d'une durée totale de deux heures pour la vacation aller/retour (AR_____ [VD] – Palais de justice), ramenée à une heure, conformément à la jurisprudence précitée. Sa rémunération sera donc arrêtée à CHF 5'514.30 correspondant à 21h20 d'activité au taux horaire de CHF 200.- (CHF 4'266.70), plus le forfait de 20% (CHF 853.35) et la TVA (CHF 394.25).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