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P/12553/2021 vom 23. August 2021</w:t>
      </w:r>
    </w:p>
    <w:p>
      <w:r>
        <w:t>GE Cour de justice, 2021-08-23, FR</w:t>
      </w:r>
    </w:p>
    <w:p>
      <w:r>
        <w:rPr>
          <w:b/>
        </w:rPr>
        <w:t xml:space="preserve">Quelle: </w:t>
      </w:r>
      <w:r>
        <w:t>https://mcp.opencaselaw.ch/entscheid/ge_gerichte_P_12553_2021</w:t>
      </w:r>
    </w:p>
    <w:p>
      <w:r>
        <w:t>FR: GE_GERICHTE P/12553/2021 du 23 août 2021</w:t>
      </w:r>
    </w:p>
    <w:p>
      <w:r>
        <w:t>IT: GE_GERICHTE P/12553/2021 del 23 agosto 2021</w:t>
      </w:r>
    </w:p>
    <w:p>
      <w:pPr>
        <w:pStyle w:val="Heading2"/>
      </w:pPr>
      <w:r>
        <w:t>Regeste</w:t>
      </w:r>
    </w:p>
    <w:p>
      <w:r>
        <w:t>SOUPÇON;DÉTENTION PROVISOIRE;RISQUE DE COLLUSION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les charges ne seraient plus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recourant était présent au J______ [GE] le matin où les deux victimes ont été blessées à la gorge par des coups compatibles avec l'utilisation de tessons de bouteille. Il allègue avoir voulu aider son ami D______, qui, selon leurs explications à tous les deux, tentait de séparer E______ de F______. Il allègue s'être borné à avoir poussé et fait tomber F______. Dès l'ouverture de l'instruction, F______ – qui n'a pas encore été confronté au recourant – a désigné son agresseur comme étant un homme noir portant un t-shirt blanc, description que le recourant ne conteste pas lui correspondre. Le témoin S______ a déclaré avoir vu que la victime était poursuivie par deux hommes, l'un " blanc ", qu'il a reconnu à 100% sur planche photographique comme étant D______ et l'autre " métis ", qu'il a identifié à 80% comme un quidam non présent sur les lieux mais dont la physionomie (cf. PP C-42 phot. N. 8) n'est pas éloignée de celle du recourant (PP 3______ phot. N. 8). Immédiatement après les fait, les personnes présentes ont désigné le recourant comme l'auteur des coups, au point qu'il a été menacé de mort par téléphone et que trois individus sont allés s'en prendre physiquement à D______, dans le quartier des M______ [GE] – où il était officiellement domicilié –, cherchant " A______ ". G______, la seconde victime, qui aurait reçu un coup au moment où il aidait F______, a, devant le Ministère public, désigné le recourant comme étant son agresseur, expliquant ne pas avoir souhaité l'impliquer au départ, mais avoir changé d'avis après avoir compris que sa vie avait été mise en danger. Le recourant semble considérer cette déclaration comme un revirement, mais il oublie qu'il avait déclaré à la police, au moment de son interpellation, que G______ le désignait, auprès des tiers, comme son agresseur et qu'une médiation entre eux deux avait été proposée par des personnes de la maison de quartier. Il ne s'agit donc pas d'un fait nouveau. Il résulte des éléments précités que le recourant est désigné, par plusieurs sources, comme l'auteur des coups portés aux victimes. Le témoignage de D______ n'ayant pas varié, il ne diminue pas les soupçons contre le recourant. Il en va de même du témoignage de K______, qui n'avait d'emblée pas reconnu le recourant sur planche photographique. Quant à P______, elle est arrivée sur les lieux après la bagarre. Il s'ensuit qu'après deux mois d'instruction, les charges se sont confirmées. On relèvera à cet égard que les déclarations du recourant ne concordent pas avec celles du témoin N______ – l'ami avec lequel il se trouvait au J______ [GE] jusqu'aux prémices de la bagarre –, s'agissant des motifs pour lesquels il se serait soudainement absenté, les circonstances dans lesquelles ils ont tous deux quitté les lieux, l'endroit où ils ont passé la nuit et leurs emplois du temps respectifs dans les heures suivantes. Puisque le recourant déclare n'avoir aucun lien avec la bagarre, ces contradictions interrogent et renforcent, en l'état, les soupçons à son égard.</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la confrontation du recourant avec F______, qui devrait intervenir le 30 septembre 2021, est importante et doit se dérouler sans que le recourant n'ait eu de contacts préalables avec le précité, même de manière indirecte. Dans la mesure où, juste après les faits, des tiers ont contacté le recourant sur son téléphone portable, le désignant comme l'auteur des coups, et que des hommes sont venus le chercher dans le quartier des M______ [GE], où il était officiellement domicilié, il existe un risque concret que, une fois libéré, il parvienne, par personnes interposées, à communiquer avec la victime. Il en va de même du témoin I______, qui a déclaré avoir vu deux hommes poursuivre F______ au moment des faits, dont l'un pourrait être le recourant. Il est certes très regrettable que ce témoin n'ait pas été confronté aux prévenus immédiatement après l'ouverture de l'instruction, plutôt que d'être convoqué à une audience deux mois plus tard, le 16 août 2021. Sur ce point, le recourant relève avec raison que le risque de collusion s'est atténué avec la libération, le 6 août 2021, de D______, qui est lui-même mis en cause par ce témoin. Cela étant, la confrontation avec le recourant demeure nécessaire, et il existe un risque concret, au vu de l'enjeu pour l'intéressé, qu'il n'use de ses contacts pour communiquer avec le précité avant celle-ci. Il convient également que le témoin N______, si le Ministère public devait ordonner sa confrontation au recourant, soit confronté sans interférences de ce dernier. Le risque de collusion étant réalisé à tout le moins s'agissant des confrontations précitées, point n'est besoin d'examiner s'il concerne aussi les auditions des témoins " R______ ", qui ne paraît pas avoir assisté à la bagarre, et de T______, qui semble concerné par les faits survenus aux M______ [GE].</w:t>
      </w:r>
    </w:p>
    <w:p>
      <w:r>
        <w:rPr>
          <w:b/>
        </w:rPr>
        <w:t>E. 4</w:t>
      </w:r>
    </w:p>
    <w:p>
      <w:r>
        <w:t>Compte tenu de l'enjeu que ces confrontations représentent pour l'avancement de la procédure, la promesse du recourant de ne pas entrer en contact avec les témoins n'est pas suffisante, et aucune autre mesure de substitution (237 al. 1 CPP) n'est apte, en l'état, à pallier le risque précité, en particulier pas la présentation quotidienne du recourant à un poste de police.</w:t>
      </w:r>
    </w:p>
    <w:p>
      <w:r>
        <w:rPr>
          <w:b/>
        </w:rPr>
        <w:t>E. 5</w:t>
      </w:r>
    </w:p>
    <w:p>
      <w:r>
        <w:t>En invoquant les effets délétères de la détention sur son avenir, le recourant fait référence au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les faits sont graves. Prévenu de tentative de meurtre (art. 22 cum 111 CP), le recourant est concrètement exposé à une peine qui excède la durée de la détention provisoire ordonnée à ce jour, jusqu'au 25 octobre 2021, s'il devait être reconnu coupable des faits reprochés. Comme rappelé par le TMC, le recourant ne saurait se prévaloir d'une inégalité de traitement avec ses co-prévenus libérés, dont les situations sont différentes. Cela étant, il importe que les actes d'instruction invoqués par le Ministère public à l'appui de sa demande de prolongation de la détention provisoire aient lieu sans tarder, au plus tard à l'échéance fixée par l'ordonnance querellée, quitte à acheminer les éventuels témoins récalcitrants par la force publique. Le Ministère public ne peut en effet invoquer la nécessité des confrontations susmentionnées – et le risque de collusion y relatif –, pour justifier le maintien en détention provisoire du prévenu, sans procéder rapidement à ces actes d'instruction. En l'état, le principe de la proportionnalité étant respecté, le recours s'avère infondé et doit être rejeté.</w:t>
      </w:r>
    </w:p>
    <w:p>
      <w:r>
        <w:rPr>
          <w:b/>
        </w:rPr>
        <w:t>E. 6</w:t>
      </w:r>
    </w:p>
    <w:p>
      <w:r>
        <w:t>Le recourant, qui succombe, supportera les frais envers l'État, arrêtés en totalité à CHF 600.- pour tenir compte des remarques sus-énoncées (art. 428 al. 1 CPP et 13 al. 1 du Règlement fixant le tarif des frais en matière pénale, RTFMP ;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le recours, premier à être exercé, n'étant pas manifestement abusif, l'assistance juridique sera accordée pour le recours et l'indemnité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