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P/12533/2017 vom 6. Dezember 2019</w:t>
      </w:r>
    </w:p>
    <w:p>
      <w:r>
        <w:t>GE Cour de justice, 2019-12-06, FR</w:t>
      </w:r>
    </w:p>
    <w:p>
      <w:r>
        <w:rPr>
          <w:b/>
        </w:rPr>
        <w:t xml:space="preserve">Quelle: </w:t>
      </w:r>
      <w:r>
        <w:t>https://mcp.opencaselaw.ch/entscheid/ge_gerichte_P_12533_2017</w:t>
      </w:r>
    </w:p>
    <w:p>
      <w:r>
        <w:t>FR: GE_GERICHTE P/12533/2017 du 6 décembre 2019</w:t>
      </w:r>
    </w:p>
    <w:p>
      <w:r>
        <w:t>IT: GE_GERICHTE P/12533/2017 del 6 dicembre 2019</w:t>
      </w:r>
    </w:p>
    <w:p>
      <w:pPr>
        <w:pStyle w:val="Heading2"/>
      </w:pPr>
      <w:r>
        <w:t>Regeste</w:t>
      </w:r>
    </w:p>
    <w:p>
      <w:r>
        <w:t>VIOLATION FONDAMENTALES DES REGLES DE LA CIRCULATION ROUTIERE;LEX MITIOR | LCR.90.al3; LCR.90.al4; LCR.100.ch4</w:t>
      </w:r>
    </w:p>
    <w:p>
      <w:pPr>
        <w:pStyle w:val="Heading2"/>
      </w:pPr>
      <w:r>
        <w:t>Erwägungen</w:t>
      </w:r>
    </w:p>
    <w:p>
      <w:r>
        <w:rPr>
          <w:b/>
        </w:rPr>
        <w:t>E. 1</w:t>
      </w:r>
    </w:p>
    <w:p>
      <w:r>
        <w:t>Les appels sont recevables pour avoir été interjetés et motivés selon la forme et dans les délais prescrits (art. 398 et 399 du Code de procédure pénale [CPP]). La Chambre limite son examen aux violations décrites dans les actes d'appel (art. 404 al. 1 CPP), sauf en cas de décisions illégales ou inéquitables (art. 404 al. 2 CPP).</w:t>
      </w:r>
    </w:p>
    <w:p>
      <w:r>
        <w:rPr>
          <w:b/>
        </w:rPr>
        <w:t>E. 2.1</w:t>
      </w:r>
    </w:p>
    <w:p>
      <w:r>
        <w:t>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Il découle de l'art. 90 al. 4 LCR que lorsque l'excès de vitesse atteint l'un des seuils fixés, soit lorsque la vitesse maximale autorisée a été dépassée d'au moins 50 km/h, là où la limite était fixée à 50 km/h (al. 4 let. b), la première condition objective de l'art. 90 al. 3 LCR, à savoir la violation d'une règle fondamentale de la circulation routière, est toujours remplie. Selon la jurisprudence, l'excès de vitesse qualifié au sens de l'art. 90 al. 4 LCR suffit déjà en principe à réaliser la seconde condition objective de l'art. 90 al. 3 LCR, à savoir la création d'un danger abstrait qualifié, dès lors que l'atteinte de l'un des seuils visés à l'art. 90 al. 4 LCR implique généralement l'impossibilité d'éviter un grand risque d'accident en cas d'obstacle ou de perte de maîtrise du véhicule. Cependant, dans des circonstances exceptionnelles, en particulier lorsque la limitation de vitesse dépassée n'avait pas pour objet la sécurité routière, l'excès de vitesse au sens de l'art. 90 al. 4 LCR peut ne pas avoir entraîné un grand risque d'accident susceptible d'entraîner des blessures graves ou la mort. Ainsi, l'art. 90 al. 4 LCR crée une présomption réfragable de la réalisation de la condition objective du danger qualifié au sens de l'art. 90 al. 3 LCR (ATF 143 IV 508 consid. 1.6 p. 514). Par ailleurs, celui qui commet un excès de vitesse appréhendé par l'art. 90 al. 4 LCR réalise en principe les conditions subjectives de l'infraction. En effet, il faut considérer que l'atteinte d'un des seuils visés à l'art. 90 al. 4 LCR implique généralement l'impossibilité d'éviter un grand risque d'accident en cas d'obstacle ou de perte de maîtrise du véhicule. Cependant, le juge doit conserver une marge de manœuvre, certes restreinte, afin d'exclure, dans des constellations particulières, la réalisation des conditions subjectives lors d'un dépassement de vitesse particulièrement important au sens de l'art. 90 al. 4 LCR. L'art. 90 al. 4 LCR crée une présomption réfragable de la réalisation de l'élément subjectif de l'infraction réprimée par l'art. 90 al. 3 LCR (ATF 142 IV 137 consid. 11.2 p. 151). À ce titre, les hypothèses d'une défaillance technique du véhicule (dysfonctionnement des freins ou du régulateur de vitesse), d'une pression extérieure (menaces, prise d'otage) ou de problèmes médicaux soudains (une crise d'épilepsie, par exemple) peuvent entrer en considération (arrêt 6B_1084/2018 du 21 novembre 2018 consid. 2.3.1 ; cf. aussi les cas de figure envisagés par la doctrine dans l'arrêt publié aux ATF 142 IV 137 consid. 10.1 p. 149 s.). Le Tribunal fédéral a considéré que l'assistance d’un coéquipier durant la conduite n'était pas en soi de nature à diminuer sensiblement le risque d'accident ou de perte de maîtrise du véhicule, puisque le passager – à supposer qu'il perçoive un danger qui aurait échappé au conducteur – doit lui signaler celui-ci avant que l'intéressé soit en mesure de réagir utilement. Il en allait de même de l'utilisation de la sirène et des feux d'urgence du véhicule, dès lors que le prévenu n’aurait pas prêté à ce matériel des vertus propres à faire diminuer significativement le risque d'accident ou de perte de maîtrise du véhicule (arrêt 6B_1224/2019 du 24 janvier 2020 consid. 2.5.).</w:t>
      </w:r>
    </w:p>
    <w:p>
      <w:r>
        <w:rPr>
          <w:b/>
        </w:rPr>
        <w:t>E. 2.2</w:t>
      </w:r>
    </w:p>
    <w:p>
      <w:r>
        <w:t>L'art. 100 ch. 4 LCR prévoit que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nécessaires lors d'une course officielle urgente, la peine peut être atténuée. Dans des cas d'excès de vitesse très importants commis par des particuliers qui invoquaient pour leur défense l'état de nécessité (art. 17 CP), le Tribunal fédéral a jugé que même si le bien en péril était aussi précieux que la vie ou l'intégrité corporelle d'autrui, il était pratiquement exclu de justifier par un gain de quelques instants le risque d'accident mortel auquel les occupants du véhicule et les autres usagers de la route sont exposés en conséquence d'un excès de ce genre. Selon la jurisprudence, les signaux d'avertissement sonores et optiques d'un véhicule de la police circulant à vitesse très élevée ne sont que peu aptes à réduire le risque d'un accident parce qu'en raison de l'approche rapide de ce véhicule, les tiers exposés au danger ne jouissent que d'un temps réduit pour percevoir ces signaux, y réagir et adapter leur propre comportement. Un excès de vitesse très important ne se justifie donc pas davantage en cas de course urgente selon l'art. 100 ch. 4 LCR que dans le cas d'un déplacement exécuté en état de nécessité avec un véhicule privé (arrêts 6B_1224/2019 du 24 janvier 2020 consid. 3.1 in SJ 2020 I 273; 6B_1102/2016 du 12 décembre 2017 consid. 6.1 et les références citées in JdT 2017 I 370; cf. aussi à cet égard l'arrêt 6B_1161/2018 du 17 janvier 2019 consid. 1.2.2 et les références citées). Selon la jurisprudence, la loi ne prévoit pas que l'infraction puisse être requalifiée au sens de l’art. 100 ch. 4 LCR en tenant compte de la différence de vitesse entre celle de l'auteur et celle qui aurait été proportionnée au cas d'espèce lorsqu'il s'agit d'une course officielle urgente (arrêt du Tribunal fédéral 6B_1161/2018 du 17 janvier 2019 consid. 2.3). S’agissant de l’impunissabilité fondée sur l’art. 100 ch. 4 LCR, le Tribunal fédéral a considéré que le conducteur qui avait créé, en atteignant une vitesse largement supérieure à la limite autorisée, cela en pleine nuit et dans une zone d'habitation, un grand risque d'accident pouvant entraîner de graves blessures ou la mort ne pouvait prétendre à une impunité. La perspective de prêter main forte à des collègues au cours d'une interpellation ne pouvait justifier un tel risque, inconciliable avec la prudence exigée par l'art. 100 ch. 4 LCR lors d'une course officielle urgente. Le fait que l'excès de vitesse litigieux était limité dans l'espace et le temps ne saurait non plus conduire à un autre résultat, étant observé que le danger créé était d'autant moins justifiable qu'il pouvait au mieux lui faire gagner quelques instants (arrêt du Tribunal fédéral 6B_1224/2019 du 24 janvier 2020 consid. 2.5.). L’art. 100 ch. 4 LCR ne révèle pas dans quelles configurations une atténuation de la peine entre en ligne de compte. Dans son message du 6 mars 2015 concernant la modification de la loi sur les douanes, le Conseil fédéral précisait que si, " pour des raisons particulières ", le conducteur n’avait pas fait preuve de la prudence imposée par les circonstances, les autorités pénales devaient avoir " la possibilité d’atténuer la peine encourue ". Il indiquait également que ces motifs d’atténuation de la peine devaient être " moins restrictifs que ceux mentionnés à l’art. 48 CP ", et que ladite peine ne pourrait être atténuée si le conducteur n’avait " nullement fait preuve de la prudence imposées par les circonstances " (cf. Message du Conseil fédéral du 6 mars 2015, FF 2015, 2701 ; arrêt du Tribunal fédéral 6B_1231/2020 du 12 mai 2021 consid. 1.1.2 et références citées). Le Tribunal fédéral a estimé que le fait de vouloir protéger la vie et l'intégrité physique de ses collègues en procédant au dépassement reproché, d'interrompre la course aussitôt après avoir compris que l'interpellation des suspects n'était pas imminente, et de pouvoir faire état d'un excès de vitesse limité dans le temps et l'espace justifiaient que le prévenu bénéfice d'une atténuation de peine fondée sur l'art. 100 ch. 4 dernière phrase LCR (arrêt du Tribunal fédéral 6B_1224/2019 précité, consid. 3.4.2.).</w:t>
      </w:r>
    </w:p>
    <w:p>
      <w:r>
        <w:rPr>
          <w:b/>
        </w:rPr>
        <w:t>E. 2.3</w:t>
      </w:r>
    </w:p>
    <w:p>
      <w:r>
        <w:t>Selon la Notice d'utilisation des feux bleus et des avertisseurs à deux sons alternés du 6 juin 2005, annexée aux Instructions concernant l'équipement des véhicules de feux bleus et d'avertisseurs à deux sons alternés émises par le Département fédéral de l'Environnement, des Transports, de l'Energie et de la Communication (Notice du DETEC), [...] lorsqu'il intervient d'urgence la nuit, le conducteur peut, pour éviter de faire du bruit, actionner le feu bleu sans l'avertisseur à deux sons alternés aussi longtemps qu'il lui est possible d'avancer rapidement sans déroger de manière notoire aux règles de la circulation et, surtout, sans revendiquer une priorité spéciale (ch. 2). Selon l'art. 100 al. 4 LCR, le conducteur d'un véhicule prioritaire peut, avec la prudence imposée par les circonstances, déroger également aux prescriptions sur la vitesse, qu'il s'agisse de limitations générales, de limitations indiquées par des signaux ou de limitations applicables seulement à certaines catégories de véhicules [...] (ch. 5). L'Ordre de service de la police genevoise du 13 mai 1963, mis à jour le 26 octobre 2015, sur la conduite en urgence confirme les principes posés par la Notice du DETEC et ne prévoit pas de conditions plus larges que celles admises par la jurisprudence pour autoriser les courses urgentes (arrêt 6B_1102/2015 du 20 juillet 2016 consid. 3). Dans l'accomplissement de la mission, il y a lieu de sacrifier la célérité au profit de la sécurité (ch. 6). Les termes " observer la prudence qu'imposent les circonstances " de l'art. 100 ch. 4 LCR doivent être pris au sens strict, eu égard plus particulièrement à la vitesse (ch. 8). Le Tribunal fédéral a en particulier considéré qu'un policier, appelé à effectuer des courses officielles urgentes, devait avoir en tête l'Ordre de service de la police genevoise et ne pouvait ainsi se prévaloir d'une erreur sur l'illicéité inévitable quant à ces prescriptions (arrêt du Tribunal fédéral 6B_1102/2015 du 20 juillet 2016 consid. 4.3). L'Ordre général du ministère public à la police concernant les courses officielles urgentes et courses officielles nécessaires pour des raisons tactiques, dans sa version du 24 janvier 2017 ("Ordre général du MP"), retient que dans les courses officielles nécessaires pour des raisons tactiques, par analogie aux dispositions applicables aux courses officielles urgentes [article B. a) ch. 2 et 4 cum article B. b) ch. 3], l'usage des seuls feux bleus ne permet pas de déroger notablement aux limitations de vitesse. Il considère qu'en zone urbaine où la vitesse est limitée à 50 km/h, l'usage des seuls feux bleus ne permet pas de circuler à une vitesse excédant 70 km/h [article B. a) ch. 2]. Il précise que, la vitesse admissible étant régie par le principe de proportionnalité, doivent être mis en balance l'importance du bien juridique protégé dont la sauvegarde justifie la course officielle urgente, d'une part, et le risque créé pour les usagers de la route, d'autre part. La prudence a été respectée lorsque la vitesse n'excède pas 1.5 fois la limitation de vitesse, soit en cas d'une conduite à 80 km/h en zone limitée à 50 km/h. Exceptionnellement, lorsque la course officielle a pour but de sauver des vies humaines ou de poursuivre un fugitif suspecté d'avoir porté atteinte à la vie humaine, une vitesse atteignant deux fois la limitation peut être entreprise. Ces barèmes étant indicatifs, le principe de proportionnalité reste applicable dans tous les cas [article B. a) ch. 2].</w:t>
      </w:r>
    </w:p>
    <w:p>
      <w:r>
        <w:rPr>
          <w:b/>
        </w:rPr>
        <w:t>E. 4</w:t>
      </w:r>
    </w:p>
    <w:p>
      <w:r>
        <w:t>L’infraction de violation grave des règles de la circulation routière est passible d’une peine privative de liberté d’un à quatre ans (art. 90 al. 3 et 4 LCR).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La réforme du droit des sanctions entrée en vigueur le 1 er janvier 2018 marque, globalement, un durcissement du droit des sanctions (M. DUPUIS / L. MOREILLON / C. PIGUET / S. BERGER / M. MAZOU / V. RODIGARI [éds], Code pénal - Petit commentaire , 2 ème éd., Bâle 2017, Rem. prél. ad art. 34 à 41, n. 2 ss). En l'espèce, les faits ont été commis avant l'entrée en vigueur du nouveau droit. L'ancien droit, plus favorable à l'appelant, sera partant appliqué. La CPAR considère, avec la doctrine susmentionnée et la jurisprudence du Tribunal fédéral, que le principe de la lex mitior lui impose de statuer selon le droit en vigueur au moment des faits et, par conséquence, lui permet d’envisager le prononcé d’une sanction sous forme de travail d’intérêt général, au sens de l’art. 37 aCP, en vigueur au moment des faits (cf. arrêts du Tribunal fédéral 6B_1231/2020 du 12 mai 2021 consid. 1.5 ; 6B_1308/2020 du 5 mai 2021 consid. 4.2.2 et 4.3.2, destiné à la publication). 4.1.3. Conformément l’art. 37 aCP, en vigueur jusqu’au 31 décembre 2017, toute personne dont la culpabilité justifierait une condamnation à six mois de privation de liberté ou à 180 jours-amende au plus peut en principe être condamnée à fournir un travail d'intérêt général si elle accepte ce genre de peine et s'il n'est pas nécessaire de prononcer une peine privative de liberté ferme (ATF 134 IV 97 consid. 6.3.3.2 p. 107 s.). Cette peine tend à favoriser, à des fins de prévention spéciale, le maintien de l'auteur dans son milieu social, en lui faisant compenser l'infraction par une prestation personnelle en faveur de la communauté plutôt que par une privation de liberté ou une peine pécuniaire (ATF 134 IV 97 consid. 6.3.2 p. 107). En l’espèce, l’appelante a admis le principe d’une condamnation sous forme de travail d’intérêt général, prestation qu’elle est apte à effectuer. En conséquence, la CPAR prononcera une sanction de ce genre, laquelle est d’autant plus opportune que l’appelante, par sa profession de policière notamment, paraît jouir d’une bonne intégration sociale. La détermination du nombre d’heures de travail d’intérêt général est fonction de la culpabilité de l'auteur. Ce nombre exprime la mesure de la peine. 4.1.4. Le bénéfice du sursis (art. 42 al. 1 aCP) est acquis à l’appelante. Selon l'art. 42 al. 4 CP (inchangé), le juge peut prononcer, en plus du sursis, une peine pécuniaire sans sursis ou une amende selon l'art. 106 CP. 4.1.5. À teneur de l'Ordre général du MP, en cas de dépassement de la vitesse autorisée, une éventuelle sanction est prononcée de manière à ne punir que la différence entre la vitesse mesurée et celle considérée comme proportionnelle à teneur de cet ordre général [article B. b) ch. 4]. Si de telles prescriptions n’ont qu'une valeur indicative (cf. supra consid. 3.2.2.), elles jouent néanmoins un rôle dans l’appréciation subjective de la faute.</w:t>
      </w:r>
    </w:p>
    <w:p>
      <w:r>
        <w:rPr>
          <w:b/>
        </w:rPr>
        <w:t>E. 4.2</w:t>
      </w:r>
    </w:p>
    <w:p>
      <w:r>
        <w:t>En l’espèce, il est établi que l’appelante A______ a circulé à la vitesse de 102 km/h, marge de sécurité déduite, à l'entrée d’une localité où la vitesse était limitée à 50 km/h. Elle se trouvait en course officielle nécessaire pour des raisons tactiques pour interpeller des individus suspectés de commettre des infractions contre le patrimoine et circulait sans que l'avertisseur à deux sons alternés soit enclenché. Conformément à l’art. 100 al. 4 dernière phrase LCR, la peine doit toutefois être atténuée, même si l'appelante n’a pas fait preuve de toute la prudence imposée par les circonstances, pour tenir compte du fait que celle-ci se trouvait en course officielle. Selon la compréhension non remise en cause qu’avait l’appelante A______ de l'Ordre général du MP, cette dernière, qui n’a certes pas prêté attention à la vitesse atteinte par son véhicule, savait qu’en application de cet ordre général elle pouvait accélérer considérablement sa vitesse. Considérant qu'elle ne pouvait pas circuler in casu à plus de 75 km/h en l'absence de sirène (cf. supra consid. 3.2.2.), l’excès de vitesse commis ne se serait élevé qu’à 27 km/h, soit un excès à la limite de la contravention puisque selon la jurisprudence le seuil du délit est atteint lorsque le dépassement de la vitesse autorisée est de 25 km/h ou plus à l'intérieur des localités (cf. ATF 143 IV 508 consid. 1.3 p. 512). La faute de l'appelante A______ n'est pas négligeable. Par son comportement, elle a créé un danger considérable pour la vie d'autrui en circulant à une vitesse déraisonnable en localité, quand bien même elle n'a pas mis concrètement en danger des usagers de la route. Elle a toutefois agi dans le cadre d'une course officielle et non par légèreté ou motivation personnelle. Comme l’a souligné le TP, l’appelante se rendait au plus vite à la rencontre d'individus recherchés pour de très nombreuses infractions et dont elle avait reçu l'information qu'ils étaient potentiellement violents et prêts à tout pour empêcher leur interpellation. Enfin, elle a accéléré sur une courte distance avant de décélérer. La collaboration de l’appelante est sans particularité, dans la mesure où l'excès de vitesse ne pouvait en tant que tel être contesté. Sa prise de conscience est relative, même si elle a toujours admis les faits, l'appelante persistant toutefois à considérer que la vitesse adoptée était justifiée et arguant jusqu'en appel avoir été victime d'une erreur sur l'illicéité. Il sied toutefois de prendre en compte que l'appelante A______ a fait l'objet d'une promotion en 2021 sous forme de changement de grade, attestant de bons états de service. Elle n'a aucun antécédent judiciaire, ce qui constitue un élément neutre dans la fixation de la peine. Compte tenu de la qualification juridique retenue, la peine théorique encourue par l’appelante est une peine privative de liberté d’une année, soit 360 unités pénales. Cela étant, la qualification juridique ne constitue que l’un des aspects de la fixation de la peine, et la faute de l’appelant – critère essentiel dans la fixation de la peine – est une question subjective pour laquelle la qualification juridique objective n’est pas le critère essentiel lorsque, comme en l’espèce, la CPAR peut procéder à une atténuation libre de la peine en application de l’art. 100 al. 4 dernière phrase LCR, étant rappelé que le législateur n’a pas fixé de restriction quant à l’importance de l’atténuation de la peine susceptible d’être opérée selon cette disposition (cf. arrêt du Tribunal fédéral 6B_1231/2020 du 12 mai 2021 consid. 1.6.1). En l'espèce, la CPAR retient dès lors que la faute de l’appelante mérite une sanction de 70 unités pénales, correspondant à 280 heures de travail d’intérêt général. La durée du délai d'épreuve, fixée à trois ans, paraît excessive et sera ramenée à deux ans, le jugement attaqué étant réformé en ce sens. En sus, comme le premier juge l'a également souligné, le prononcé d'une amende à titre de prévention spéciale ne s'impose pas in casu . En sa qualité de membre de la police, l’appelante est particulièrement bien placée pour comprendre la portée d’une condamnation. Il convient également de tenir compte du poids de la durée de la présente procédure, qui ne peut qu’avoir contribué à ce qu’elle comprenne les enjeux de sa condamnation. Dans ces circonstances, et compte tenu également de la peine plus lourde prononcée ce jour, la CPAR renoncera à assortir la condamnation d’une amende à titre de sanction immédiate.</w:t>
      </w:r>
    </w:p>
    <w:p>
      <w:r>
        <w:rPr>
          <w:b/>
        </w:rPr>
        <w:t>E. 5.1</w:t>
      </w:r>
    </w:p>
    <w:p>
      <w:r>
        <w:t>En définitive, l’appelante A______ est retenue coupable de violation intentionnelle des règles fondamentales de la circulation routière et bénéficie d’une atténuation de peine. Le MP pour sa part obtient le verdict de culpabilité plaidé, mais n’est pas suivi s’agissant de la peine. Aussi, les parties succombent de manière égale, de sorte qu’elles devraient chacune supporter la moitié des frais de la procédure d’appel, comprenant un émolument de CHF 1'500.- (art. 428 al. 1 CPP et art. 14 al. 1 let. e du Règlement fixant le tarif des frais en matière pénale [RTFMP]). Seule l’appelante A______ supportera par conséquent la moitié des frais de la procédure d’appel, le solde demeurant à la charge de l’Etat.</w:t>
      </w:r>
    </w:p>
    <w:p>
      <w:r>
        <w:rPr>
          <w:b/>
        </w:rPr>
        <w:t>E. 5.2</w:t>
      </w:r>
    </w:p>
    <w:p>
      <w:r>
        <w:t>Il n'y a pas lieu de revoir la répartition des frais de première instance dès lors que le verdict de culpabilité est confirmé et que la quotité et le type de peine n'ont pas eu d'influence sur ces frais (art. 426 al. 1 et art. 428 al. 3 CPP).</w:t>
      </w:r>
    </w:p>
    <w:p>
      <w:r>
        <w:rPr>
          <w:b/>
        </w:rPr>
        <w:t>E. 6.1</w:t>
      </w:r>
    </w:p>
    <w:p>
      <w:r>
        <w:t>En l'espèce, le verdict de culpabilité étant confirmé, la prévenue n'a donc droit à aucune indemnité fondée sur l'art. 429 CPP.</w:t>
      </w:r>
    </w:p>
    <w:p>
      <w:r>
        <w:rPr>
          <w:b/>
        </w:rPr>
        <w:t>E. 6.2</w:t>
      </w:r>
    </w:p>
    <w:p>
      <w:r>
        <w:t>L’appelante A______ obtient toutefois partiellement gain de cause et a donc droit au sens de l'art. 436 al. 2 CPP à une indemnisation partielle pour la procédure d’appel, dans la même proportion que celle appliquée aux frais. Cela étant, la note d’honoraire produite par son conseil en lien avec les communications faites avec son client apparaît à cet égard exagérée, celles-ci représentant 10h50, soit légèrement plus de la moitié du temps facturé ; elle sera dès lors réduite à la durée raisonnable de 3h00. La durée de l'audience sera quant à elle ajustée à 1h45. L’indemnisation accordée sera réduite à moitié pour tenir compte du fait que l’appelante A______ n’obtient que partiellement gain de cause, et sera ainsi arrêtée en totalité à CHF 2'806.10, calculé sur la base d'une activité du chef d'étude de 11h35 au tarif horaire de CHF 450.- (11.58 heures × CHF 450.-) et la TVA à 7.7% (CHF 401.25). Conformément à l’art. 442 al. 4 CPP, elle sera compensée avec les frais de procédure mis à sa charge (ATF 143 IV 293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