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P/12455/2018 vom 3. Juli 2020</w:t>
      </w:r>
    </w:p>
    <w:p>
      <w:r>
        <w:t>GE Cour de justice, 2020-07-03, FR</w:t>
      </w:r>
    </w:p>
    <w:p>
      <w:r>
        <w:rPr>
          <w:b/>
        </w:rPr>
        <w:t xml:space="preserve">Quelle: </w:t>
      </w:r>
      <w:r>
        <w:t>https://mcp.opencaselaw.ch/entscheid/ge_gerichte_P_12455_2018</w:t>
      </w:r>
    </w:p>
    <w:p>
      <w:r>
        <w:t>FR: GE_GERICHTE P/12455/2018 du 3 juillet 2020</w:t>
      </w:r>
    </w:p>
    <w:p>
      <w:r>
        <w:t>IT: GE_GERICHTE P/12455/2018 del 3 luglio 2020</w:t>
      </w:r>
    </w:p>
    <w:p>
      <w:pPr>
        <w:pStyle w:val="Heading2"/>
      </w:pPr>
      <w:r>
        <w:t>Regeste</w:t>
      </w:r>
    </w:p>
    <w:p>
      <w:r>
        <w:t>DOL ÉVENTUEL;COAUTEUR(DROIT PÉNAL) | CP.112; CP.111; CP.66A</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plus récemment arrêt du Tribunal fédéral 6B_209/2018 du 23 novembre 2018 consid. 2.1.2 non publié aux ATF 144 IV 332 ).</w:t>
      </w:r>
    </w:p>
    <w:p>
      <w:r>
        <w:rPr>
          <w:b/>
        </w:rPr>
        <w:t>E. 2.2</w:t>
      </w:r>
    </w:p>
    <w:p>
      <w:r>
        <w:t>Selon l'art. 180 al. 1 CP, celui qui, par une menace grave, aura alarmé ou effrayé une personne sera, sur plainte, puni d'une peine privative de liberté de trois ans au plus ou d'une peine pécuniaire.</w:t>
      </w:r>
    </w:p>
    <w:p>
      <w:r>
        <w:rPr>
          <w:b/>
        </w:rPr>
        <w:t>E. 2.3</w:t>
      </w:r>
    </w:p>
    <w:p>
      <w:r>
        <w:t>L'art. 111 CP réprime le comportement de celui qui aura intentionnellement tué une personne.</w:t>
      </w:r>
    </w:p>
    <w:p>
      <w:r>
        <w:rPr>
          <w:b/>
        </w:rPr>
        <w:t>E. 2.3.1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relatif à l'art. 129 CP).</w:t>
      </w:r>
    </w:p>
    <w:p>
      <w:r>
        <w:rPr>
          <w:b/>
        </w:rPr>
        <w:t>E. 2.3.2</w:t>
      </w:r>
    </w:p>
    <w:p>
      <w:r>
        <w:t>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6B_135/2020 du 16 juin 2020 consid. 4.2 et les références citées).</w:t>
      </w:r>
    </w:p>
    <w:p>
      <w:r>
        <w:rPr>
          <w:b/>
        </w:rPr>
        <w:t>E. 2.4</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ou encore sans motif apparent, voire pour une broutille.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Il ne s'agit toutefois là que d'exemples destinés à illustrer la notion, de sorte qu'il n'est pas nécessaire que l'une de ces hypothèses soit réalisée.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et 4.2 ; 127 IV 10 consid. 1a ; 118 IV 122 consid. 2b ; 117 IV 369 consid. 19b ; 101 IV 279 consid. 2).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Le fait que l'auteur « accepte » la mort pour le cas où celle-ci se produirait n'exclut pas que les mobiles sous-tendant l'homicide ou la tentative d'homicide ainsi que le but de l'infraction puissent procéder d'un mépris singulièrement grossier pour la vie humaine et s'avérer être particulièrement odieux. Un assassinat peut donc également être commis par dol éventuel (ATF 112 IV 65 c. 3b ; arrêt du Tribunal fédéral 6B_232/2012 du 8 mars 2013 consid. 1.4.2, résumé in Forumpoenale 3/2014 n. 23). 2.5.1. En l'espèce, l'appelant ne conteste plus sa condamnation pour menaces. Au vu de ses dénégations et nonobstant son acquiescement à la condamnation, la CPAR retient que le prévenu et son frère, agissant de concert et en toute connaissance de cause, ont menacé de « planter » les parties plaignantes E______ ou C______, illustrant leurs propos d'un geste avec un couteau. L'appelant a proféré des insultes racistes. La réalité des menaces et insultes proférées et comprises comme des menaces de mort est attestée par les déclarations concordantes du témoin et du plaignant, enregistrées le 29 juin 2018, soit avant l'agression du lendemain soir. Ces menaces ont effrayé la victime au point qu'elle a jugé nécessaire de déposer plainte très rapidement. Au plus tard à cette date, l'appelant savait que son frère était porteur d'un couteau. On ignore les échanges que les frères ont pu avoir à ce sujet ; il est toutefois certain que si l'appelant avait réprouvé la détention du couteau, il aurait dit à son frère de le lui remettre ou se serait assuré qu'il s'en débarrassait, ce qu'il n'a pas fait. 2.5.2. S'agissant des faits de la nuit du 1 er au 2 juillet 2018, au moment où il sort de la rue 3______, l'appelant a l'intention d'agresser la victime et son accompagnant, à tout le moins en assistant son frère. Il a envisagé et accepté que son frère soit alors en possession d'un couteau dont il pouvait se servir, pour l'avoir déjà brandi trois jours plus tôt à l'encontre de la même victime, et alors qu'il le sait particulièrement « chaud » pour un affrontement. Au moment où le couteau est sorti, après le premier coup de poing, l'appelant s'associe sans réserve aux coups de son frère et l'accompagne dans ses mouvements. Même si son intention n'est pas initialement homicide, elle le devient ; il s'accommode de ce que fait son frère, et s'associe à ses coups en frappant lui aussi la victime qui est à terre. Il met à exécution les menaces qu'ils ont proférées trois jours plus tôt, et conclut ses actes par les paroles entendues par un témoin et par la victime, à qui il dit qu'il avait été prévenu, et par lesquelles il confirme son adhésion au geste homicide et son acceptation de celui-ci, avant de prendre la fuite avec son frère. Après avoir vu le premier coup de couteau porté à sa poitrine, il a bel et bien adhéré à ces gestes et fait siens tous les coups de couteau portés par son frère, et accepté pleinement le risque de mort de la victime. Il y a donc dol éventuel homicide. 2.5.3. Le déroulement des faits ne permet pas de retenir que l'appelant a prémédité dès le 28 juin 2018 avec son frère d'attenter à la vie de la victime. Les circonstances de la nuit du 1 er au 2 juillet 2018 ont fait qu'il s'est pleinement associé à la tentative d'homicide, et son intention a donc évolué au fil du temps, sans procéder d'un plan conçu et discuté de concert. Le motif de ces agissements repose en revanche sur une futilité. Le prévenu a agi essentiellement en raison d'un conflit fictif aberrant avec E______ qu'il a alimenté et attisé, et, dans une moindre mesure, de sa volonté de défendre mordicus son frère sans prendre aucune distance. Au lieu d'apaiser la situation, l'appelant a entretenu et nourri le conflit entre son jeune frère et les plaignants, qu'il a fait sien. La personne visée, son voisin, l'a été essentiellement pour le fait d'avoir eu l'audace d'entretenir des liens d'amitié avec une personne qui ne lui convenait pas. Il n'avait pas eu à souffrir le moins du monde de la victime, qui a au contraire toujours cherché à calmer le jeu dans leurs relations. Le mobile de l'appelant était purement égoïste. Il s'était persuadé que son voisin lui cherchait des noises et s'est mis en tête de l'attaquer. Il s'est montré prêt à sacrifier la vie d'un homme qui ne lui avait jamais causé de tort particulier afin de se venger d'un préjudice inexistant, voire pour le punir de l'amitié qu'il entretenait avec le second plaignant. Les faits doivent donc être qualifiés de tentative d'assassinat au vu du mobile particulièrement odieux de l'acte. 2.5.4. La Cour ne retient en revanche pas, au vu du déroulement très rapide des faits, et même s'il s'agit d'un cas limite au vu de la manière dont les deux frères ont attendu et guetté leur victime, que la façon d'agir ait été particulièrement odieuse.</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 Plus la peine est élevée, plus la motivation doit être complète (ATF 127 IV 101 consid. 2c p. 105). Cela vaut en particulier lorsque la peine, dans le cadre légal, apparaît comparativement très élevée ou étonnamment clémente (ATF 134 IV 17 consid. 2.1 p. 20 ; 127 IV 101 consid. 2c p. 105). L'absence d'antécédents a en principe un effet neutre sur la fixation de la peine et n'a pas à être pris en considération dans un sens atténuant (ATF 141 IV 61 consid. 6.3.2 p. 70; 136 IV 1 consid. 2.6 p. 2 ss).</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3.3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 3.4.1. L'assassinat au sens de l'art. 112 CP est passible d'une peine privative de liberté à vie ou d'une peine privative de liberté de dix ans au moins. Il s'agit en l'espèce de l'infraction la plus grave, et la peine pour celle-ci servira de peine de base. 3.4.2. La faute de l'appelant est excessivement lourde. Durant des semaines, il a ruminé et encouragé un conflit avec son voisin auquel il s'en est pris pour des motifs futiles. Si son frère a, certes, seul porté les coups de couteau, l'appelant a été le catalyseur nécessaire de l'acte. Par son adhésion au conflit de son frère, par ses menaces violentes à l'encontre des plaignants, il a alimenté et attisé le litige. Le 28 juin précédent, par son rôle prépondérant dans les menaces proférées, il a légitimé l'utilisation du couteau brandi par son frère. Le soir des faits, il a encore perçu à tort une agression à son encontre du fait de la simple présence de la victime à son lieu de travail avec ses amis, et contribué par son soutien à exacerber la tension de la situation et l'agressivité de son frère. Par ses propos, ses gestes, son attitude et son comportement, il a validé l'absurde agression, d'une violence inouïe, dirigée contre la victime. L'appelant a eu un comportement exécrable tout au long de la procédure, agressant les différents protagonistes (avocat, procureur, témoins et même les plaignants) pendant l'instruction et jusque devant les premiers juges, perdant le contrôle de ses émotions à plusieurs reprises. Interpellé par les premiers juges sur le sort de la victime, il a répondu qu'il pouvait arriver « d'avoir des trucs graves dans la vie », démontrant une absence complète d'empathie. Après s'être lui-même posé en victime, il a finalement admis en appel, du bout des lèvres, que la seule victime était la partie plaignante. Si cette attitude est expliquée par les experts, qui décrivent une faible capacité d'élaboration et des difficultés à exprimer ses émotions, elle témoigne de l'absence de tout remord et repentir et démontre le long chemin qu'il doit encore parcourir. Ainsi, il n'a fait montre d'aucun remords ni de regret. Sa responsabilité est entière. L'appelant n'a pas d'antécédent, ce qui est un élément neutre pour déterminer la peine. Il sera tenu compte du fait que, même si son rôle de catalyseur a été essentiel, ce n'est pas lui qui a tenu le couteau pendant l'agression dont il n'était pas le moteur. Il s'est spontanément rendu à la police après les faits et s'est montré soulagé d'apprendre que la victime avait survécu, même si cette attitude initiale semble concerner plus les conséquences pour lui-même que refléter une réelle préoccupation pour la victime. Il présente un bon profil et un risque de récidive faible ; son jeune âge doit être pris en compte. Enfin, quand bien même l'appelant a achevé son acte, il sera tenu compte, dans une très faible proportion car cela tient à la rapidité de l'intervention des secours, du fait que la condition objective de l'infraction de meurtre - le décès de la victime - ne s'est heureusement pas concrétisée. Compte tenu de l'ensemble de ces éléments, une peine privative de liberté de 12 ans pour la tentative d'assassinat doit être retenue comme peine de base. Cette peine doit être aggravée d'une année (peine théorique 18 mois) pour tenir compte des gravissimes menaces proférées le 28 juin 2018. L'appelant sera ainsi condamné à une peine privative de liberté de 13 ans, son appel étant rejeté et l'appel-joint du MP partiellement admis. Le jugement du TCR sera réformé en ce sens.</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assassinat (let. a).</w:t>
      </w:r>
    </w:p>
    <w:p>
      <w:r>
        <w:rPr>
          <w:b/>
        </w:rPr>
        <w:t>E. 4.2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Elle doit être appliquée de manière restrictive, en s'inspirant des critères énoncés à l'art. 31 de l'ordonnance relative à l'admission, au séjour et à l'exercice d'une activité lucrative (OASA ; ATF 144 IV 332 consid. 3.3.2 p. 340 s.; arrêt du tribunal fédéral 6B_690/2019 du 4 décembre 2019 destiné à la publication, consid. 3.4).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6B_1417/2019 du 13 mars 2020 consid. 2.1.1; 6B_50/2020 du 3 mars 2020 consid. 1.3.1).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du Tribunal fédéral 6B_1417/2019 précité consid. 2.1.3; 6B_690/2019 précité consid. 3.4.4). 4.3.1. L'appelant est né à Genève où il a toujours résidé et bénéficie d'une autorisation d'établissement. Sa famille (parents, frère et soeur) vit en Suisse, de même que sa famille paternelle. Il n'a plus qu'une grand-mère, un oncle et quelques cousins au Kosovo, pays dans lequel il ne se rend qu'une semaine par an, et ne s'était plus rendu depuis plus d'une année au moment des faits. Un renvoi au Kosovo le placerait dans une situation personnelle grave et constituerait une atteinte sensible au respect de sa vie privée au sens de l'art. 8 par. 1 CEDH, de sorte que la première condition cumulative de l'art. 66a al. 2 CP est réalisée. Il convient encore d'examiner si l'intérêt privé de l'appelant à demeurer en Suisse peut l'emporter sur l'intérêt public présidant à son expulsion. 4.3.2. L'appelant a toujours vécu en Suisse et y dispose de ses liens familiaux principaux. Il n'a aucun proche dans son pays d'origine pouvant concrètement l'aider à s'y installer. Il parle albanais, moins bien selon lui que le français. Il n'a entrepris aucune formation et, avant sa mise en détention, il vivotait entre stages et petits jobs et dépendait surtout de la générosité de ses parents, n'ayant jamais travaillé durablement, quand bien même il faut souligner le fait qu'il n'a jamais sollicité d'aide sociale. Son intégration ne peut être qualifiée de réussie. Ses liens sociaux en Suisse sont faibles, étant relevé qu'à l'exception d'associations fournissant de l'aide à l'emploi, il n'a pas de liens associatifs forts tels que club de sport, association d'intérêts ou autre activité contribuant à la vie de la société. Ses projets professionnels consistent en une offre d'emploi auprès de son beau-frère, époux de sa soeur, et restent donc dans son cercle familial. Il n'a pas de famille nucléaire en Suisse qui fasse obstacle à son expulsion. Il n'apporte finalement aucune contribution à la société suisse. L'intérêt public présidant à l'expulsion de l'appelant s'avère considérable, compte tenu essentiellement de l'extrême gravité des faits qui conduisent à la présente condamnation. Il s'en est pris à un voisin, son compatriote, pour des motifs futiles. La peine privative de liberté à laquelle il est condamné dépasse largement une année, ce qui pourrait, cas échéant, permettre une révocation de l'autorisation d'établissement sur la base de l'art. 63 al. 1 let. a cum 62 al. 1 let. b LEI (cf. ATF 139 I 145 consid. 2.1 p. 147, selon lequel constitue une "peine privative de liberté de longue durée" au sens de l'art. 62 al. 1 let. b LEI toute peine dépassant un an d'emprisonnement). L'appelant encourt une très longue détention, au cours de laquelle il faut espérer qu'il acquerra enfin une formation susceptible de l'aider à prendre pied dans la vie active. Ses chances de réinsertion au Kosovo, en sortant de prison au bénéfice d'une formation solide et adaptée, ne sont pas inexistantes, étant rappelé qu'il n'a jamais réussi à s'insérer professionnellement en Suisse. En définitive, compte tenu de la gravité extrême des infractions sanctionnées, de la médiocre intégration de l'appelant en Suisse et de l'absence de perspectives concrètes dans ce pays, l'intérêt public présidant à son expulsion l'emporte sur l'intérêt privé de l'appelant à y demeurer, même si son intégration dans son pays d'origine ne sera pas facile. La seconde condition pour l'application de l'art. 66a al. 2 CP n'étant pas réalisée, l'expulsion doit être ordonnée. S'agissant de la durée de cette mesure, et compte tenu de ses attaches en Suisse, la durée de l'expulsion sollicitée par le MP est excessive. En revanche, au vu de la gravité des faits reprochés, la durée de dix ans fixée par les premiers juges apparaît adéquate. Il n'y a pas lieu d'étendre la mesure d'expulsion prononcée à l'ensemble de l'espace Schengen, l'expulsion du territoire suisse suffisant à atteindre le but recherché. L'appel du prévenu et l'appel joint du MP sur ce point seront donc rejetés.</w:t>
      </w:r>
    </w:p>
    <w:p>
      <w:r>
        <w:rPr>
          <w:b/>
        </w:rPr>
        <w:t>E. 5</w:t>
      </w:r>
    </w:p>
    <w:p>
      <w:r>
        <w:t>5.1.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selon lequel celui qui subit une atteinte illicite à sa personnalité a droit à une somme d'argent à titre de réparation morale pour autant que la gravité de l'atteinte le justifie et que l'auteur ne lui ait pas donné satisfaction autrement. Les lésions corporelles, qui englobent tant les atteintes physiques que psychiques, doivent donc en principe impliquer une importante douleur physique ou morale ou avoir causé une atteinte durable à la santé. L'ampleur de la réparation morale dépend avant tout de la gravité des souffrances physiques et psychiques consécutives à l'atteinte subie et de la possibilité d'adoucir sensiblement, par le versement d'une somme d'argent, la douleur morale qui en résulte. Conformément à l'art. 50 al. 1 CO, 1 lorsque plusieurs ont causé ensemble un dommage, ils sont tenus solidairement de le réparer, sans qu'il y ait lieu de distinguer entre l'instigateur, l'auteur principal et le complice.</w:t>
      </w:r>
    </w:p>
    <w:p>
      <w:r>
        <w:rPr>
          <w:b/>
        </w:rPr>
        <w:t>E. 5.2</w:t>
      </w:r>
    </w:p>
    <w:p>
      <w:r>
        <w:t>En l'espèce, le montant alloué par les premiers juges, qui n'est pas contesté en tant que tel par l'appelant, est adéquat et proportionné à la gravité des faits et de la souffrance subie. Il n'y a pas lieu, conformément à l'art. 50 CO, de procéder à une répartition entre l'appelant et son frère, la présente décision retenant la culpabilité de l'appelant pour l'ensemble du dommage causé. Le frère de l'appelant n'étant pas partie à la présente procédure, la CPAR n'a pas à statuer sur une éventuelle responsabilité de celui-ci. S'il devait également être condamné à payer une indemnité pour tort moral au plaignant, les relations entre les deux frères et notamment un éventuel droit de recours seront régis par les articles 143 ss CO.</w:t>
      </w:r>
    </w:p>
    <w:p>
      <w:r>
        <w:rPr>
          <w:b/>
        </w:rPr>
        <w:t>E. 6</w:t>
      </w:r>
    </w:p>
    <w:p>
      <w:r>
        <w:t>L'appel joint ayant été admis, l'appelant, qui succombe, supportera les frais de la procédure envers l'Etat (art. 428 CPP).</w:t>
      </w:r>
    </w:p>
    <w:p>
      <w:r>
        <w:rPr>
          <w:b/>
        </w:rPr>
        <w:t>E. 7.1</w:t>
      </w:r>
    </w:p>
    <w:p>
      <w:r>
        <w:t>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MP est arrêtée à CHF 55.- / CHF 75.- / CHF 100.- pour les stagiaires / collaborateurs / chefs d'étude, dite rémunération étant allouée d'office par la juridiction d'appel pour les débats devant elle. 7.4.1. En l'occurrence, il ne sera tenu compte que de huit heures de préparation dans l'état de frais de M e D______, s'agissant d'un dossier connu pour avoir été suivi dès le début de l'instruction et plaidé en première instance, par un avocat de surcroît très chevronné. Trois vacations seront ajoutées d'office pour les débats d'appel qui se sont étendus sur trois journées. En conclusion, l'indemnité sera arrêtée à CHF 5'061.90, correspondant à 20 heures d'activité au tarif de CHF 200.-/heure plus la majoration forfaitaire de 10% au vu de l'activité exercée en première instance, trois vacations à CHF 100.- et la TVA. 7.4.2. Considéré globalement, l'état de frais produit par M e F______ paraît adéquat et conforme aux dispositions et principes régissant l'assistance judiciaire pénale. Sa rémunération sera ainsi arrêtée à CHF 1'007.- pour quatre heures et 15 minutes d'activité au tarif de CHF 200.-/heure, la majoration forfaitaire de 10% au vu de l'activité exercée en première instance et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