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P/12431/2017 vom 5. Juni 2018</w:t>
      </w:r>
    </w:p>
    <w:p>
      <w:r>
        <w:t>GE Cour de justice, 2018-06-05, FR</w:t>
      </w:r>
    </w:p>
    <w:p>
      <w:r>
        <w:rPr>
          <w:b/>
        </w:rPr>
        <w:t xml:space="preserve">Quelle: </w:t>
      </w:r>
      <w:r>
        <w:t>https://mcp.opencaselaw.ch/entscheid/ge_gerichte_P_12431_2017</w:t>
      </w:r>
    </w:p>
    <w:p>
      <w:r>
        <w:t>FR: GE_GERICHTE P/12431/2017 du 5 juin 2018</w:t>
      </w:r>
    </w:p>
    <w:p>
      <w:r>
        <w:t>IT: GE_GERICHTE P/12431/2017 del 5 giugno 2018</w:t>
      </w:r>
    </w:p>
    <w:p>
      <w:pPr>
        <w:pStyle w:val="Heading2"/>
      </w:pPr>
      <w:r>
        <w:t>Regeste</w:t>
      </w:r>
    </w:p>
    <w:p>
      <w:r>
        <w:t>TRADUCTION ; CONFRONTATION ; FIXATION DE LA PEINE ; CONCOURS D'INFRACTIONS | CPP.68; CPP.147.al1; CP.47; CP.49; CP.51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juridiction d'appel limite son examen aux violations décrites dans l'acte d'appel (art. 404 al. 1 CPP), sauf en cas de décisions illégales ou inéquitables (art. 404 al. 2 CPP).</w:t>
      </w:r>
    </w:p>
    <w:p>
      <w:r>
        <w:rPr>
          <w:b/>
        </w:rPr>
        <w:t>E. 2</w:t>
      </w:r>
    </w:p>
    <w:p>
      <w:r>
        <w:t>2.1.1. L'art. 68 CPP prévoit que la direction de la procédure fait appel à un traducteur ou un interprète lorsqu'une personne participant à la procédure ne comprend pas la langue de la procédure ou n'est pas en mesure de s'exprimer suffisamment bien dans cette langue (al. 1, 1 ère phrase) ; il peut toutefois y être renoncé, avec l'accord de cette personne, pour les affaires simples ou urgentes et pour autant que le préposé au procès-verbal maîtrise suffisamment bien la langue de cette personne (art. 68 al. 1, 2 ème phrase, CPP). Ces principes sont également valables devant la police (D. EQUEY, L'interprète et le traducteur dans la procédure pénale , SJ 2013 II 429/430 et les références citées). 2.1.2. En l'occurrence, l'affaire était incontestablement simple, ce que l'appelant ne conteste d'ailleurs pas. Celui-ci ne nie pas non plus avoir consenti à ce qu'un policier effectue la traduction à la place d'un véritable interprète. Il allègue désormais que le policier en question ne maîtrisait pas suffisamment la langue anglaise sans étayer le propos, ne serait-ce qu'à l'aide d'un exemple, de sorte qu'il n'y a pas de raison de le suivre. On ne voit par ailleurs pas quel argument il pourrait tirer de sa propre connaissance insuffisante, ou supposée telle, de cette langue, dès lors que le problème ne relèverait alors pas du choix de l'interprète/traducteur mais plutôt de celui de l'idiome. Or, il ne soutient pas que ses interrogatoires auraient dû être conduits en swahili. Comme souligné par le premier juge, le procès-verbal d'audition par la police comporte plusieurs pages et est détaillé. Les explications que l'appelant a données en ce qui concerne plus particulièrement la vente de la drogue ne se limitent pas à la simple admission d'une transaction ; elles sont au contraire circonstanciées, l'intéressé ayant indiqué pourquoi et comment il en était venu à vendre le sachet de marijuana trouvé sur l'acheteur, et à quel prix. Les déclarations en cause paraissent d'autant plus authentiques qu'elles comportent des éléments à décharge, la transaction étant décrite comme le résultat d'une décision impulsive, provoquée par le client. Dans ces circonstances, il n'y a aucune raison de revenir sur des modalités auxquelles l'appelant a consenti. 2.2.1. 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 arrêt du Tribunal fédéral 1B_404/2012 du 4 décembre 2012). Ce droit spécifique de participer et de collaborer découle du droit d'être entendu (art. 29 al. 2 de la Constitution fédérale de la Confédération suisse du 18 avril 1999 [Cst. - RS 101], art. 107 al. 1 let. b CPP). Il présuppose la qualité de partie (ATF 140 IV 172 consid. 1.2.1 et 1.2.2 p. 174 ss ; arrêt du Tribunal fédéral 6B_688/2014 du 22 décembre 2017 consid. 6.5.1).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cf. ATF 140 IV 172 consid. 1.2.1 p. 175 ; ATF 139 IV 25 consid. 4.2 p. 29 s. ; arrêt du Tribunal fédéral 6B_321/2017 du 8 mars 2018 consid. 1.5.1). Le droit d'être confronté, au moins une fois, aux témoins à charge est absolu (ATF 131 I 476 consid. 2.2 p. 481), y compris lorsque les dépositions décisives ont été recueillies par la police (ATF 125 I 129 consid. 6a p. 132), faute de quoi ces preuves ne pourront en principe pas être exploitées à charge du prévenu. Leur caractère inexploitable, exprimé à l'art. 147 al. 4 CPP, vaut toutefois sous réserve des limites posées à l'art. 147 al. 3, 2 e phrase, CPP (N. SCHMID, Schweizerische Strafprozessordnung : Praxiskommentar , 2 e éd., Zurich 2013, n. 15 ad art. 147). Selon l'art. 147 al. 3, 2 e phrase, CPP, il peut être renoncé à répéter l'administration de preuves qui s'est tenue en l'absence d'une partie ou de son conseil, si cette répétition entraînerait des frais et démarches disproportionnés et que le droit des parties peut être satisfait d'une autre manière. Le lieu de séjour inconnu du témoin est une raison de renoncer à la répétition (N. SCHMID, op. cit. , n. 14 ad art. 147).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(ATF 131 I 476 consid. 2.2 pp. 480 s. ;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131 I 476 consid. 2.2 p. 480 ; ATF 129 I 151 consid. 3.1 pp. 153 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pp. 480 ss et les références ; arrêt du Tribunal fédéral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 2.2.2. En l'occurrence, il est vrai que le domicile français du consommateur impliquait de possibles difficultés dans l'organisation d'une confrontation mais faute d'avoir tenté, on ne saurait exclure d'emblée la possibilité d'y procéder. Pour autant, ainsi qu'il sera développé ci-après, ce n'est pas sur la base des déclarations de ce protagoniste que la conviction de la culpabilité de l'appelant est assise. Il n'est donc pas nécessaire de se demander si l'on se trouve dans un cas de figure où les déclarations à charge peuvent être exploitées nonobstant l'absence de confrontation. Il peut ainsi été concédé à l'appelant que les déclarations de B______ ne peuvent lui être opposées, ce qui ne changera cependant pas l'issue de la cause.</w:t>
      </w:r>
    </w:p>
    <w:p>
      <w:r>
        <w:rPr>
          <w:b/>
        </w:rPr>
        <w:t>E. 3</w:t>
      </w:r>
    </w:p>
    <w:p>
      <w:r>
        <w:t>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3.2</w:t>
      </w:r>
    </w:p>
    <w:p>
      <w:r>
        <w:t>La transaction contestée a été observée par la police, selon le rapport du 16 juin 2017 étant relevé que l'appelant n'en a jamais contesté le contenu pas plus qu'il n'a demandé à être confronté aux policiers. L'exactitude des constatations visuelles de la police est corroborée par le fait que la personne interpellée aussitôt après était en possession d'un sachet de marijuana. Elles le sont également par les aveux de l'appelant lors de son interpellation puis de son audition par la police. Il est particulièrement significatif que l'intéressé ait décrit avoir vendu un sachet de marijuana, soit précisément la substance, telle que conditionnée, trouvé sur le consommateur repéré par la police. En outre, l'appelant a donné des détails circonstanciés et isolé, parmi les billets et pièces en sa possession, le billet de CHF 50.- reçu en règlement du prix de vente. C'est donc sur la base de ces éléments, et non des déclarations du toxicomane, qui n'a d'ailleurs pas été requis de formellement identifier son vendeur, qu'il peut être tenu pour acquis, au-delà de tout doute raisonnable, que l'appelant a vendu à B______ le sachet de marijuana trouvé sur ce dernier, de sorte que l'appel doit être rejeté.</w:t>
      </w:r>
    </w:p>
    <w:p>
      <w:r>
        <w:rPr>
          <w:b/>
        </w:rPr>
        <w:t>E. 4</w:t>
      </w:r>
    </w:p>
    <w:p>
      <w:r>
        <w:t>4.1. L'appelant ne conteste pas la peine pour l'hypothèse où le verdict de culpabilité serait confirmé. Toutefois, il s'avère que postérieurement au prononcé du jugement, deux nouvelles condamnations ont été prononcées à son encontre, de sorte que la peine doit en tout état être revue pour permettre l'application de l'art. 49 al. 2 du Code pénal suisse du 21 décembre 1937 (CP - RS 311.0).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4.2.2.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4.2.3. La réforme du droit des sanctions entrée en vigueur le 1 er janvier 2018 marque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En particulier, la peine privative de liberté est désormais de trois jours au moins et de vingt ans au plus (sous réserve d'une peine privative de liberté à vie lorsque la loi le prévoit expressément ; art. 40 CP ; M. DUPUIS / L. MOREILLON / C. PIGUET / S. BERGER / M. MAZOU / V. RODIGARI [éds], op. cit ., Rem. prél. ad art. 34 à 41 CP, n. 5) alors que précédemment, la courte peine privative de liberté était l'exception dès lors qu'elle ne pouvait être prononcée que si des motifs de prévention spéciale permettaient de considérer qu'une peine pécuniaire ou une nouvelle peine de travail d'intérêt général seraient d'emblée inadaptées, (arrêts du Tribunal fédéral 6B_341/2017 du 23 janvier 2018 consid. 1.1 ; 6B_1030/2016 du 2 février 2017 consid. 2.2.2). Le juge devait alors motiver le choix de la courte peine privative de liberté ferme de manière circonstanciée (art. 41 al. 2 CP). Il ne lui suffisait pas d'expliquer pourquoi une peine privative de liberté ferme semblait adéquate, il devait également mentionner clairement en quoi les conditions du sursis n'étaient pas réunies, en quoi il y avait lieu d'admettre que la peine pécuniaire ou un travail d'intérêt général ne paraissaient pas exécutables (ATF 134 IV 60 consid. 8.4 p. 80 ; arrêts du Tribunal fédéral 6B_372/2017 du 15 novembre 2017 consid. 1.1 ; 6B_1030/2016 du 2 février 2017 consid. 2.2).</w:t>
      </w:r>
    </w:p>
    <w:p>
      <w:r>
        <w:rPr>
          <w:b/>
        </w:rPr>
        <w:t>E. 4.3</w:t>
      </w:r>
    </w:p>
    <w:p>
      <w:r>
        <w:t>La faute de l'appelant est d'une gravité moyenne. Elle pourrait encore être tenue pour légère s'il n'y avait que la transaction contestée en appel et la consommation de stupéfiants, mais il s'y ajoute la violation de la LEtr, d'autant plus sérieuse que l'appelant persiste à séjourner en Suisse ou à y revenir nonobstant les nombreuses condamnations déjà rendues à son encontre et l'interdiction d'entrée qui le frappe depuis le 22 janvier 2016. Il n'a manifestement cure de ces décisions ou, plus généralement, des règles de l'ordre juridique. En persistant à séjourner en Suisse en toute illégalité, l'appelant s'est placé dans une situation de précarité qui l'a conduit, selon ses propres explications, à vendre la marijuana saisie. La période pénale est relativement brève, mais s'inscrit dans une succession d'infractions, étant relevé que deux nouvelles condamnations sont venues enrichir son casier judiciaire. Il y a concours d'infractions et concours retrospectif. Certes, on imagine que l'appelant, au demeurant encore jeune, a eu un parcours difficile, mais cela ne justifie pas ses agissements, notamment pas la répétition des infractions à la LEtr, l'intéressé devant se résoudre à l'idée que ce mode de vie ne constitue pas une solution, en l'absence de toute perspective de régularisation. Si n'était le concours rétrospectif, la peine infligée par le premier juge paraitrait adéquate, vu ce qui précède, tant par sa durée que par son type. En ce qui concerne plus particulièrement le type de peine, il faut rappeler que vu ses antécédents et l'absence de toute perspective d'amendement, le pronostic est clairement défavorable ce qui exclut le sursis. En outre, l'appelant, qui n'a d'ailleurs pas évoqué une telle issue, ne saurait prétendre effectuer un travail d'intérêt général, et il a déjà connu de la peine pécuniaire, sans que cela n'ait d'effet dissuasif. L'application des dispositions en vigueur lors de la commission des faits ne conduirait donc pas à écarter la peine privative de liberté. Cependant, il faut admettre que si elle était appelée à connaître de toutes les infractions objet des décisions des 10 janvier, 7 mars et 17 avril 2018, la juridiction d'appel n'infligerait pas une peine privative de liberté supérieure à dix mois. Il convient donc de réduire la présente peine privative de liberté à zéro, celle-ci étant complémentaire à celles prononcées par le MP les 7 mars et 17 avril 2018.</w:t>
      </w:r>
    </w:p>
    <w:p>
      <w:r>
        <w:rPr>
          <w:b/>
        </w:rPr>
        <w:t>E. 4.4</w:t>
      </w:r>
    </w:p>
    <w:p>
      <w:r>
        <w:t>Il n'y a en revanche pas lieu de revenir sur l'amende sanctionnant la consommation de stupéfiant, contre laquelle l'appel n'est pas dirigé et qui n'entre pas en concours rétrospectif avec les peines privatives de libertés ultérieures.</w:t>
      </w:r>
    </w:p>
    <w:p>
      <w:r>
        <w:rPr>
          <w:b/>
        </w:rPr>
        <w:t>E. 5</w:t>
      </w:r>
    </w:p>
    <w:p>
      <w:r>
        <w:t>5.1.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p. 154 s.). La détention avant jugement doit être imputée sur la peine, indépendamment du fait que celle-ci soit assortie du sursis ou non et qu'il s'agisse d'une peine pécuniaire ou privative de liberté (ATF 135 IV 126 consid. 1.3.6 p. 129). En présence de peines de types différents, l'imputation de la détention avant jugement s'opère en premier lieu sur la peine privative de liberté, puis en cas d'excédent sur la peine pécuniaire, indifféremment d'une identité entre cette dernière et la détention avant jugement subie (arrêt du Tribunal fédéral 6B_983/2013 du 24 février 2014 consid. 6.2). La question de l'indemnisation d'une détention injustifiée ne se pose en principe que si une imputation suffisante de cette détention sur une autre sanction au sens de l'art. 51 CP n'est plus possible ; l'indemnisation financière est ainsi subsidiaire à l'imputation (ATF 141 IV 236 consid. 3.3 p. 239 et les références citées). L'intéressé n'a pas le droit de choisir entre ces deux voies (arrêt du Tribunal fédéral 6B_431/2015 du 24 mars 2016 consid. 2.2.). La procédure à suivre en matière d'imputation de la détention dans une autre procédure n'est pas réglée par la loi. En principe, l'imputation doit être effectuée par l'autorité appelée à statuer sur l'application de l'art. 431 al. 2 CPP, l'autre autorité devant être informée de l'imputation ( AARP/334/2017 du 12 octobre 2017, consid. 6.6).</w:t>
      </w:r>
    </w:p>
    <w:p>
      <w:r>
        <w:rPr>
          <w:b/>
        </w:rPr>
        <w:t>E. 5.2</w:t>
      </w:r>
    </w:p>
    <w:p>
      <w:r>
        <w:t>En l'occurrence, vu le concours rétrospectif, l'appelant s'avère avoir subi deux jours de détention avant jugement dans cette affaire alors que sa peine a dû être réduite à zéro. Ces deux jours devront donc être déduits des peines ultérieures précitées, l'attention du Service d'application des peines et mesures, qui recevra communication du présent arrêt, étant expressément attirée sur ce point.</w:t>
      </w:r>
    </w:p>
    <w:p>
      <w:r>
        <w:rPr>
          <w:b/>
        </w:rPr>
        <w:t>E. 6</w:t>
      </w:r>
    </w:p>
    <w:p>
      <w:r>
        <w:t>6.1. Selon l'art. 428 al. 2 let. a CPP, les frais sont mis à la charge de la partie qui a interjeté recours, quand bien même celle-ci obtient une décision plus favorable, si les conditions qui lui ont permis d'obtenir ce résultat n'ont été réalisées que dans la procédure de recours. Tel est le cas en l'occurrence, le concours rétrospectif ne s'étant réalisé qu'en cours de la procédure d'appel. Les frais de ladite procédure seront donc mis à la charge de l'intéressé.</w:t>
      </w:r>
    </w:p>
    <w:p>
      <w:r>
        <w:rPr>
          <w:b/>
        </w:rPr>
        <w:t>E. 6.2</w:t>
      </w:r>
    </w:p>
    <w:p>
      <w:r>
        <w:t>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(ATF 137 IV 352 consid. 2.4.2 p. 357 ; arrêts du TF 6B_385/2017 du 5 décembre 2017 consid. 2.1 ; 6B_620/2016 du 17 mai 2017 consid. 2.2.2 et les références ; 6B_792/2016 du 18 avril 2017 consid. 3.3). Pour cette raison déjà, l'appelant ne saurait prétendre à couverture de ses frais de défense. A cela s'ajoute que le motif qui a conduit à la réduction de la peine a été soulevé d'office par la Cour et n'a donc exigé aucun travail facturable de l'avocat de l'appelant.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