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P/12427/2017 vom 10. September 2019</w:t>
      </w:r>
    </w:p>
    <w:p>
      <w:r>
        <w:t>GE Cour de justice, 2019-09-10, FR</w:t>
      </w:r>
    </w:p>
    <w:p>
      <w:r>
        <w:rPr>
          <w:b/>
        </w:rPr>
        <w:t xml:space="preserve">Quelle: </w:t>
      </w:r>
      <w:r>
        <w:t>https://mcp.opencaselaw.ch/entscheid/ge_gerichte_P_12427_2017</w:t>
      </w:r>
    </w:p>
    <w:p>
      <w:r>
        <w:t>FR: GE_GERICHTE P/12427/2017 du 10 septembre 2019</w:t>
      </w:r>
    </w:p>
    <w:p>
      <w:r>
        <w:t>IT: GE_GERICHTE P/12427/2017 del 10 settembre 2019</w:t>
      </w:r>
    </w:p>
    <w:p>
      <w:pPr>
        <w:pStyle w:val="Heading2"/>
      </w:pPr>
      <w:r>
        <w:t>Regeste</w:t>
      </w:r>
    </w:p>
    <w:p>
      <w:r>
        <w:t>DISPOSITIONS PÉNALES DE LA LCR;VIOLATION DES RÈGLES DE LA CIRCULATION;OPPOSITION À UN ACTE DE L'AUTORITÉ | LCR.90.al1; LCR.91.ala.let1; CP.286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S'agissant de l'opposition, l'acte délictueux consiste à se comporter de telle manière qu'une mesure d'investigation de l'incapacité de conduire ne puisse pas être exécutée, à tout le moins momentanément, que ce soit en raison d'une résistance active ou passive de l'auteur. Sur le plan subjectif, l'infraction est intentionnelle, le dol éventuel étant suffisant (ATF 131 IV 36 consid. 2.2.1 p. 39 s'agissant de l'art. 91 al. 3 aLCR). Aucun dessein spécial n'est requis. Il n'est ainsi pas déterminant que l'auteur se soit senti ou non en incapacité de conduire ou qu'il soit finalement constaté qu'il se trouvait dans cet état (ATF 105 IV 64 consid. 2 p. 65 ; arrêt du Tribunal fédéral 6B_158/2019 du 12 mars 2019 consid. 1.1.1).</w:t>
      </w:r>
    </w:p>
    <w:p>
      <w:r>
        <w:rPr>
          <w:b/>
        </w:rPr>
        <w:t>E. 2.3</w:t>
      </w:r>
    </w:p>
    <w:p>
      <w:r>
        <w:t>L'art. 286 CP réprime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Il ne suffit cependant pas que l'auteur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 3ème éd., 2010, n° 13 ad art. 286 CP, arrêt du Tribunal fédéral 6B_89/2019 du 17 mai 2019).</w:t>
      </w:r>
    </w:p>
    <w:p>
      <w:r>
        <w:rPr>
          <w:b/>
        </w:rPr>
        <w:t>E. 2.4</w:t>
      </w:r>
    </w:p>
    <w:p>
      <w:r>
        <w:t>L'intimée prétend ne pas avoir compris ce qui lui était demandé, à cause de la barrière de la langue et de son état de panique. Il ressort cependant de la procédure qu'elle a dans un premier temps été suffisamment calme et en mesure de comprendre ce qui lui était demandé pour collaborer avec la police, en présentant notamment son permis de conduire, et en demandant si elle pouvait appeler son mari. Il est ainsi douteux qu'elle n'ait subitement plus été capable de comprendre et de communiquer au moment où la police lui a demandé de se prêter au test de l'éthylomètre, puis de sortir de son véhicule. Selon le gendarme D______, le comportement de l'intimée a changé au moment où l'éthylotest lui a été présenté et qu'il a mimé le geste de souffler dans l'appareil pour être certain de se faire comprendre, ce qui est tout à fait vraisemblable. En effet, les policiers ont tenté durant toute la durée de l'intervention, soit entre 20 et 30 minutes, de discuter avec l'intimée et de la convaincre de se soumettre au test, allant même jusqu'à l'autoriser à appeler son mari. Il est par ailleurs peu crédible que l'intimée ait été terrifiée par la présence de la police au point de refuser de sortir de son véhicule ou de se soumettre à l'éthylotest, qu'elle a précisé ne pas avoir reconnu. En effet, cette dernière est originaire des Etats-Unis, pays dans lequel les éthylotests sont couramment utilisés, comme elle l'a d'ailleurs admis. Interpellée en pleine nuit, au volant de son véhicule, alors qu'elle venait de commettre une infraction et de remettre son permis de conduire à la police, elle ne pouvait pas être perturbée par le fait qu'on lui demande de souffler dans un appareil, même inconnu, au point de ne même pas comprendre ce qui lui était demandé. En effet, n'importe quel conducteur, suisse ou originaire d'un Etat étranger, interpellé pour un contrôle, doit raisonnablement s'attendre à être soumis à un test aussi courant que celui de l'éthylomètre, même s'il ne connait pas précisément la forme d'un tel appareil. Il en va également ainsi pour l'intimée, qui réside au surplus en Suisse depuis 2015 et est titulaire d'un permis de conduire suisse. Compte tenu de l'ensemble de ces éléments, il est établi que l'intimée a compris les différentes injonctions de la police dès le moment de son arrestation. En tout état de cause, l'intimée a à tout le moins compris que la police attendait d'elle qu'elle se prête au test de l'éthylomètre au moment où elle a été amenée au poste. En effet, un policier anglophone était présent pour lui traduire le procès-verbal d'audition ce qu'elle a d'ailleurs confirmé, procès-verbal sur lequel figurent les faits qui lui étaient reprochés. En outre, plusieurs questions lui ont été posées en relation avec sa consommation d'alcool. Malgré cela, elle a encore refusé de se soumettre au test de l'éthylomètre ainsi qu'à la prise de sang qui lui a été proposée, puis ordonnée par le MP. L'intimée ayant intentionnellement refusé de se soumettre au test de l'éthylomètre et à une prise de sang visant à déterminer son incapacité de conduire, elle sera reconnue coupable d'entrave aux mesures de constatation de l'incapacité à conduire (art. 91a LCR), l'appel étant admis sur ce point.</w:t>
      </w:r>
    </w:p>
    <w:p>
      <w:r>
        <w:rPr>
          <w:b/>
        </w:rPr>
        <w:t>E. 2.5</w:t>
      </w:r>
    </w:p>
    <w:p>
      <w:r>
        <w:t>Il est en outre reproché à l'intimée d'avoir refusé de sortir de son véhicule, malgré les injonctions de la police, si bien qu'un gendarme a été contraint d'ouvrir la portière de la voiture et de la saisir par le bras dans le but de l'en extraire. Si l'intimée a finalement suivi le mouvement imposé par le gendarme au moment de sortir de son véhicule, il n'en reste pas moins qu'elle a d'abord refusé durant toute la durée de l'intervention, soit 20 à 30 minutes, de quitter son véhicule, s'accrochant à son volant, si bien que les gendarmes présents se sont vus contraints de faire appel à des renforts, sachant qu'ils devraient faire usage de la force dans le but de l'en extraire. Une fois les renforts arrivés, et après avoir encore tenté à plusieurs reprises de la convaincre par la parole de sortir de sa voiture, un gendarme a finalement dû faire usage de la contrainte, ouvrant la portière, la saisissant par le bras, puis la menottant. Ainsi, en restant fermement à sa place pendant une durée relativement longue et se laissant difficilement emmener par les gendarmes, qui ont été contraints de faire appel à des renforts, et d'user de moyens de contrainte à son encontre, l'intimée a non seulement refusé d'obtempérer aux injonctions de la police, mais également fait preuve d'une résistance d'une intensité certaine, rendant plus difficile, par son comportement, l'accomplissement d'un acte officiel auquel elle était tenue de collaborer. Elle sera ainsi reconnue coupable d'empêchement d'accomplir un acte officiel (art. 286 CP), l'appel étant également admis sur ce point.</w:t>
      </w:r>
    </w:p>
    <w:p>
      <w:r>
        <w:rPr>
          <w:b/>
        </w:rPr>
        <w:t>E. 3.1</w:t>
      </w:r>
    </w:p>
    <w:p>
      <w:r>
        <w:t>L'entrave aux mesures de constatation de l'incapacité de conduire (art. 91a LCR) est passible d'une peine privative de liberté de trois ans au plus ou d'une peine pécuniaire. L'empêchement d'accomplir un acte officiel (art. 286 CP) est passible d'une peine pécuniaire de 30 jours-amende au plus. L'art. 90 al. 1 LCR punit d'une amende celui qui commet une violation simple des règles de la circulation routière.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rPr>
          <w:b/>
        </w:rPr>
        <w:t>E. 3.4</w:t>
      </w:r>
    </w:p>
    <w:p>
      <w:r>
        <w:t>Le nouveau droit des sanctions n'étant in concreto pas plus favorable à l'intimée, il n'en sera pas fait application (art. 2 al. 2 CP) . Au sens de l'art.34 aCP, la peine pécuniaire ne peut excéder 360 jours-amende (al. 1). Le juge fixe leur nombre en fonction de la culpabilité de l'auteur. Le jour-amende est de CHF 3000.- au plus. Le juge en fixe le montant selon la situation personnelle de l'auteur au moment du jugement, notamment en tenant compte de son revenu et de sa fortune, de son mode de vie, de ses obligations d'assistance, en particulier familiales et du minimum vital (al. 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Le juge doit ensuite, en fonction de la situation financière de l'auteur, fixer la quotité de l'amende de manière qu'il soit frappé dans la mesure adéquate (ATF 129 IV 6 consid. 6.1 in JdT 2005 IV p. 215 ; 119 IV 330 consid. 3 p. 337). Un jour de peine privative de liberté de substitution (art. 106 al. 2 CP) correspond schématiquement à CHF 100.- d'amende (R. ROTH / L. MOREILLON (éds), Code pénal I : art. 1-100 CP, Bâle 2009, n. 19 ad art. 106).</w:t>
      </w:r>
    </w:p>
    <w:p>
      <w:r>
        <w:rPr>
          <w:b/>
        </w:rPr>
        <w:t>E. 3.5</w:t>
      </w:r>
    </w:p>
    <w:p>
      <w:r>
        <w:t>Selon l'art. 54 CP, si l'auteur a été directement atteint par les conséquences de son acte au point qu'une peine serait inappropriée, l'autorité compétente renonce à le poursuivre, à le renvoyer devant le juge ou à lui infliger une peine.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w:t>
      </w:r>
    </w:p>
    <w:p>
      <w:r>
        <w:rPr>
          <w:b/>
        </w:rPr>
        <w:t>E. 3.6</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Selon l'art. 42 al. 4 aCP,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(ATF 134 IV 60 consid. 7.3.1 p. 74 s ; arrêt du Tribunal fédéral 6B_835/2018 du 8 novembre 2018 consid. 3.2). La peine prononcée avec sursis reste prépondérante, alors que la peine pécuniaire sans sursis ou l'amende est d'importance secondaire (ATF 134 IV 1 consid. 4.5.2. p. 8). Cette combinaison de peines ne doit pas conduire à une aggravation de la peine globale ou permettre une peine supplémentaire. Les peines combinées, dans leur somme totale, doivent être adaptées à la faute (ATF 134 IV 53 consid. 5.2 p. 55 ; arrêt du Tribunal fédéral 6B_952/2016 du 29 août 2017 consid. 3.1). Pour tenir compte du caractère accessoire des peines cumulées, il se justifie en principe d'en fixer la limite supérieure à un cinquième, respectivement à 20 %, de la peine principale (ATF 135 IV 188 consid. 3.4.4. p. 191). Le juge dispose, en ce qui concerne la fixation de la peine privative de liberté de substitution, d'un pouvoir d'appréciation plus étendu. Dans la mesure où la faute constitue, contrairement à l'ancien droit,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Il y a cependant ceci de particulier que lorsqu'une telle peine doit être fixée pour une amende additionnelle au sens de l'art. 42 al. 4 CP, le juge a déjà fixé le montant du jour-amende pour la peine pécuniaire assortie du sursis, partant la capacité économique de l'auteur. Il apparaît donc adéquat d'utiliser le montant du jour-amende comme taux de conversion et de diviser l'amende additionnelle par ce montant (ATF 134 IV 60 consid. 7.3.3 p. 76 s. ; arrêt du Tribunal fédéral 6B_903/2015 du 21 septembre 2016).</w:t>
      </w:r>
    </w:p>
    <w:p>
      <w:r>
        <w:rPr>
          <w:b/>
        </w:rPr>
        <w:t>E. 3.7</w:t>
      </w:r>
    </w:p>
    <w:p>
      <w:r>
        <w:t>En l'espèce,la faute de l'intimée n'est pas légère. Après avoir commis une infraction aux règles de la circulation routière, elle a refusé de sortir de son véhicule et de se soumettre à un éthylotest malgré les nombreuses demandes de la police ainsi qu'à une prise de sang, pourtant ordonnée par le MP. Sa collaboration a été mauvaise. Elle a refusé de répondre à l'ensemble des questions qui lui étaient posées et de signer les documents qui lui étaient présentés. Sa prise de conscience est faible, la prévenue ayant persisté à justifier ses actes par le fait qu'elle ignorait les règles de la circulation routière en vigueur en Suisse et qu'elle n'avait pas compris ce qui lui était demandé. Compte tenu de la situation de l'intimée et de la faute commise, le prononcé d'une peine pécuniaire est adéquat en l'espèce, tant pour l'infraction à l'art. 91a al. 1 LCR qu'à l'art. 286 CP. Ainsi, dans la mesure où l'infraction abstraitement la plus grave est celle d'entrave aux mesures de constatation de l'incapacité de conduire, la CPAR retiendra qu'une peine pécuniaire de 100 jours-amende est appropriée et sanctionne adéquatement le comportement de l'intimée pour cette infraction. Cette peine sera étendue à 120 jours-amende compte tenu de l'infraction à l'art. 286 CP, les deux infractions entrant en concours (art. 49 al. 1 CP). Le montant du jour-amende sera fixé à CHF 150.- la situation financière de l'intimée étant compatible avec ce montant, ce qu'elle ne conteste d'ailleurs pas. Le pronostic n'étant pas défavorable, le sursis lui sera accordé, le délai d'épreuve fixé à trois ans. L'intimée ne bénéficiera pas d'une exemption de peine (art. 54 CP). En effet, sa conduite au poste suite au refus de souffler dans l'éthylomètre est la conséquence inéluctable dudit refus et a été l'occasion d'une poursuite du comportement illicite, l'intéressée n'acceptant pas non plus de se prêter à la prise de sang valablement ordonnée. Les désagréments qui ont suivi n'ont par ailleurs pas eu de conséquences très lourdes. A titre de prévention spéciale, le prononcé d'une amende en sus s'impose au titre de sanction immédiate. Le montant sera arrêté à CHF 3'600.-, compte tenu de la situation financière de l'intimée et de sa faute. Ce montant n'excède pas 20% de la peine principale. La peine privative de liberté de substitution est arrêtée à 24 jours, correspondant au montant de l'amende, divisée par le montant du jour-amende. L'intimée sera en outre condamnée à une amende de CHF 300.- pour la contravention à l'art. 90 al. 1 LCR, la peine privative de liberté de substitution étant fixée à trois jours.</w:t>
      </w:r>
    </w:p>
    <w:p>
      <w:r>
        <w:rPr>
          <w:b/>
        </w:rPr>
        <w:t>E. 4</w:t>
      </w:r>
    </w:p>
    <w:p>
      <w:r>
        <w:t>4.1. Selon l'art.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6B_1261/2017 du 25 avril 2018 consid. 2 et 6B_363/2017 du 1er septembre 2017 consid. 4.1). Si elle rend une nouvelle décision, l'autorité d'appel se prononce également sur les frais fixés par l'autorité inférieure (art. 428 al. 3 CPP). Selon l'art. 426 al. 1 CPP, le prévenu supporte les frais de procédure de première instance s'il est condamné.</w:t>
      </w:r>
    </w:p>
    <w:p>
      <w:r>
        <w:rPr>
          <w:b/>
        </w:rPr>
        <w:t>E. 4.2</w:t>
      </w:r>
    </w:p>
    <w:p>
      <w:r>
        <w:t>En l'espèce, l'intimée succombe, étant condamnée pour infractions à l'art. 91a al. 1 LCR, 286 CP et 90 al. 1 LCR. Les frais de la procédure d'appel, comprenant un émolument de CHF 1'500.- (art. 428 CPP et 14 al. 1 let. e du règlement fixant le tarif des frais en matière pénale du 22 décembre 2010 [RTFMP - E 4 10.03]) seront mis à sa charge. Elle sera également condamnée à supporter la totalité des frais de procédure de première instance, d'un montant de CHF 1'263.-.</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w:t>
      </w:r>
    </w:p>
    <w:p>
      <w:r>
        <w:rPr>
          <w:b/>
        </w:rPr>
        <w:t>E. 5.2</w:t>
      </w:r>
    </w:p>
    <w:p>
      <w:r>
        <w:t>En l'occurrence, l'intimée, qui succombe, n'a droit à aucune indemnité pour les dépenses occasionnées par l'exercice de ses droits de procédure, que ce soit pour la procédure d'appel ou celle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