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P/12424/2016 vom 26. Juli 2018</w:t>
      </w:r>
    </w:p>
    <w:p>
      <w:r>
        <w:t>GE Cour de justice, 2018-07-26, FR</w:t>
      </w:r>
    </w:p>
    <w:p>
      <w:r>
        <w:rPr>
          <w:b/>
        </w:rPr>
        <w:t xml:space="preserve">Quelle: </w:t>
      </w:r>
      <w:r>
        <w:t>https://mcp.opencaselaw.ch/entscheid/ge_gerichte_P_12424_2016</w:t>
      </w:r>
    </w:p>
    <w:p>
      <w:r>
        <w:t>FR: GE_GERICHTE P/12424/2016 du 26 juillet 2018</w:t>
      </w:r>
    </w:p>
    <w:p>
      <w:r>
        <w:t>IT: GE_GERICHTE P/12424/2016 del 26 luglio 2018</w:t>
      </w:r>
    </w:p>
    <w:p>
      <w:pPr>
        <w:pStyle w:val="Heading2"/>
      </w:pPr>
      <w:r>
        <w:t>Regeste</w:t>
      </w:r>
    </w:p>
    <w:p>
      <w:r>
        <w:t>VIOLATION DES RÈGLES DE L'ART DE CONSTRUIRE ; LÉSION CORPORELLE PAR NÉGLIGENCE | CP.229; CP.125; CPP.319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d'avoir classé la procédure sans préciser quels éléments constitutifs de quelles infractions seraient réunis et sur quelle base la procédure devrait se poursuivre. Dans cette ignorance et afin d'être exhaustif, la Chambre de céans examinera les conditions des art. 125 et 229 CP.![endif]&gt;![if&gt;</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![endif]&gt;![if&gt;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L'art. 229 CP sanctionne celui qui a enfreint les règles de l'art en dirigeant ou en exécutant une construction ou une démolition et aura par-là, intentionnellement (al. 1) ou par négligence (al. 2), mis en danger la vie ou l'intégrité corporelle des personnes. Les règles de l'art sont non seulement des règles destinées à protéger les utilisateurs lorsque la construction sera achevée (cf. ATF 117 II 259 ; JdT 1992 I p. 559), mais aussi et surtout des règles qui tendent à assurer la sécurité sur le chantier lors de l'exécution des travaux de construction ou de démolition (B. CORBOZ, Les infractions en droit suisse , vol. II, 3e éd., Berne 2010, n. 11 ad art. 229 CP). La violation d'une règle de l'art doit causer (même par omission) une mise en danger concrète; il s'agit donc d'une infraction de résultat. Seul compte ici un danger pour la vie ou l'intégrité corporelle (lésion du corps humain ou atteinte à la santé) (B. CORBOZ, Les infractions en droit suisse, vol. II, 3e éd., Berne 2010 , n. 27 ad art. 229 CP, et les références citées; M. DUPUIS / L. MOREILLON / C. PIGUET / S. BERGER / M. MAZOU / V. RODIGARI (éds), Code pénal - Petit commentaire , 2e éd., Bâle 2017, n. 29 ad art. 229 CP et les références citées). Il s'agit d'une mise en danger collective, mais la mise en danger d'une seule personne est suffisante, pour autant, selon la théorie de la représentativité, que cette personne représente la collectivité, à savoir qu'elle n'est pas déterminée à l'avance, mais mise en danger par hasard (M. DUPUIS / L. MOREILLON / C. PIGUET / S. BERGER / M. MAZOU / V. RODIGARI (éds), op. cit., n. 30 ad art. 229 CP et les références citées, dont notamment G. STRATENWERTH / F. BOMMER, Schweizerisches Strafrecht, Besonderer Teil II : Straftaten gegen Gemeininteressen, 7e éd., Berne 2013, §30 n. 32 : " Der Betroffene darf nicht individuell vorherbestimmt sein" ). L'art. 229 CP est d'ailleurs classé dans le titre 7 du Code pénal intitulé "Crimes ou délits créant un danger collectif" . 3.2.2. Il apparaît, en l'espèce, que les éléments constitutifs de l'infraction ne sont pas réunis. En effet, l'art. 229 CP protège la collectivité et non les intérêts individuels. Or, il ressort du dossier que les seuls utilisateurs de la nacelle étaient le recourant et son collègue et que personne d'autre ne se trouvait dans la salle de gymnastique. Ainsi, si tant est qu'une règle de l'art ait été violée – ce qu'il n'est pas nécessaire d'analyser en l'espèce –, ce n'est pas la vie ou l'intégrité corporelle "des personnes" qui était mise en danger, dans le sens collectif du terme, mais bien de deux personnes, déterminées à l'avance, ne représentant pas la collectivité que la disposition légale précitée tend exclusivement à protéger ( cf . ACPR/477/2018 du 29 août 2018). Par conséquent, s'agissant de l'art. 229 CP, le prononcé d'une ordonnance de classement se justifie en l'espèce, ce qui emporte, par substitution de motifs, le rejet du recours. 3.3.1 L'art. 125 CP punit celui qui, par négligence, aura fait subir à une personne une atteinte à l'intégrité corporelle ou à la santé. Cette infraction suppose la réalisation de trois conditions : une négligence, une atteinte à l'intégrité physique et un lien de causalité naturelle et adéquate entre ces deux éléments. Il s'agit d'une infraction de résultat, qui suppose en général une action, mais qui, conformément à l'art. 11 al. 1 CP, peut aussi être réalisée par le fait d'un comportement passif contraire à une obligation d'agir. Pour qu'un délit d'omission improprement dit soit réalisé, il faut que l'auteur se trouve dans une position de garant impliquant un devoir de diligence, qu'il ait omis d'accomplir un acte que lui imposait ce devoir de diligence et que cette omission soit en relation de causalité, naturelle et adéquate, avec le résultat. 3.3.2. 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 étant précisé que l'art. 102 CP prévoit une responsabilité subsidiaire de l'entreprise au cas où un crime ou un délit commis en son sein ne peut être imputé à aucune personne physique déterminée en raison d'un manque d'organisation. 3.3.3. Un comportement est la cause naturelle d'un résultat s'il en constitue l'une des conditions sine qua non , c'est-à-dire si, sans lui, le résultat ne s'était pas produit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p. 65, 134 IV 255 consid. 4.4.2 p. 265 s. et les références citées ; arrêts du Tribunal fédéral 6B_315/2016 du 1er novembre 2016 consid. 5 et 6B_466/2016 du 23 mars 2017). Lorsque l'infraction est réalisée par omission, il faut procéder par hypothèse et se demander si l'accomplissement de l'acte omis aurait, selon le cours ordinaire des choses et l'expérience de la vie, évité la survenance du résultat. L'existence de la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(arrêt du Tribunal fédéral 6B_468/2012 du 24 octobre 2012 consid. 2.6.). 3.3.4. En l'espèce, le recourant reproche au mis en cause C______ d'avoir omis de procéder à un examen préalable des risques présentés par le chantier et de planifier l'utilisation de la nacelle avec ses employés, sans leur donner les instructions nécessaires à une utilisation sûre de celle-ci. Or, de telles omissions – si tant est qu'elles soient fautives, ce qu'il n'est pas nécessaire d'élucider en l'espèce – ne sont pas la cause naturelle et adéquate de l'accident et donc des lésions subies par le recourant. ![endif]&gt;![if&gt; En effet, il ressort du dossier que, lors de l'accident, la nacelle roulait de manière fluide, sans "à-coups" , et que la cause de son renversement réside dans le fait que ses roues se sont bloquées dans la saignée sur le sol. Or, les trois utilisateurs successifs de cette nacelle avaient vu cette saignée. Le conducteur de l'engin au moment de l'accident était un contremaître confirmé, formé à déceler les dangers et titulaire du permis de conduire nécessaire à l'accomplissement de sa tâche. Il a, par ailleurs, admis avoir eu conscience de la dangerosité de la saignée et l'avoir évitée une première fois. Au moment de l'accident, il l'avait oubliée et ne regardait pas le sol, se repérant dans l'espace grâce aux poutres du plafond. Ainsi, on ne voit pas en quoi le fait que le mis en cause constate par lui-même l'existence de la saignée et en discute avec ses employés, aurait pu changer le déroulement des événements tel que décrit ci-dessus, l'accident n'ayant pas pour cause l'ignorance du danger par lesdits employés mais son oubli par l'un d'eux, ce qu'aucune instruction de l'employeur n'aurait pu éviter. Ce grief sera, dès lors, également rejeté. 3.3.5. Le recourant ne remet pas en cause le classement en tant qu'il concerne son collègue D______ de sorte qu'il n'y sera pas revenu.</w:t>
      </w:r>
    </w:p>
    <w:p>
      <w:r>
        <w:rPr>
          <w:b/>
        </w:rPr>
        <w:t>E. 4</w:t>
      </w:r>
    </w:p>
    <w:p>
      <w:r>
        <w:t>Le recourant estime nécessaire qu'il soit procédé à l'audition de K______, ingénieur spécialiste en sécurité du travail auprès de la L______ pour être entendu au sujet des obligations de tout acteur d'un chantier et afin de fournir tous éclairages utiles en la matière.![endif]&gt;![if&gt; Cette mesure n'étant pas de nature à modifier le raisonnement sus-décrit, il n'incombait pas au Ministère public d'y donner suite.</w:t>
      </w:r>
    </w:p>
    <w:p>
      <w:r>
        <w:rPr>
          <w:b/>
        </w:rPr>
        <w:t>E. 5</w:t>
      </w:r>
    </w:p>
    <w:p>
      <w:r>
        <w:t>Justifiée, l'ordonnance querellée sera donc confirmée.![endif]&gt;![if&gt;</w:t>
      </w:r>
    </w:p>
    <w:p>
      <w:r>
        <w:rPr>
          <w:b/>
        </w:rPr>
        <w:t>E. 6</w:t>
      </w:r>
    </w:p>
    <w:p>
      <w:r>
        <w:t>Le recourant,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