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P/12371/2020 vom 18. Februar 2021</w:t>
      </w:r>
    </w:p>
    <w:p>
      <w:r>
        <w:t>GE Cour de justice, 2021-02-18, FR</w:t>
      </w:r>
    </w:p>
    <w:p>
      <w:r>
        <w:rPr>
          <w:b/>
        </w:rPr>
        <w:t xml:space="preserve">Quelle: </w:t>
      </w:r>
      <w:r>
        <w:t>https://mcp.opencaselaw.ch/entscheid/ge_gerichte_P_12371_2020</w:t>
      </w:r>
    </w:p>
    <w:p>
      <w:r>
        <w:t>FR: GE_GERICHTE P/12371/2020 du 18 février 2021</w:t>
      </w:r>
    </w:p>
    <w:p>
      <w:r>
        <w:t>IT: GE_GERICHTE P/12371/2020 del 18 febbraio 2021</w:t>
      </w:r>
    </w:p>
    <w:p>
      <w:pPr>
        <w:pStyle w:val="Heading2"/>
      </w:pPr>
      <w:r>
        <w:t>Regeste</w:t>
      </w:r>
    </w:p>
    <w:p>
      <w:r>
        <w:t>DROIT D'ÊTRE ENTENDU;INFRACTIONS CONTRE LE PATRIMOINE;ESCROQUERIE;ASTUCE;ABUS DE CONFIANCE;INTERNET | CPP.310; CPP.100; CP.138; CP.146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de s'être basé sur des éléments d'une autre procédure qui, ne figuraient pas au dossier au moment de sa consultation, dont il ignorait tout et sans qu'il ait eu la possibilité de confronter les éléments recueillis avec ceux en sa possession.</w:t>
      </w:r>
    </w:p>
    <w:p>
      <w:r>
        <w:rPr>
          <w:b/>
        </w:rPr>
        <w:t>E. 2.1</w:t>
      </w:r>
    </w:p>
    <w:p>
      <w:r>
        <w:t>Conformément à l'art. 100 CPP, la direction de la procédure est tenue de constituer et de mettre à disposition pour la consultation un dossier complet. Il doit être constitué de l'ensemble des actes de procédure et des documents rassemblés, c'est-à-dire les procès-verbaux de procédure et des auditions, les pièces réunies par l'autorité pénale et les pièces versées par les parties. Le dossier ainsi constitué servira de base au tribunal pour le jugement de l'affaire. Il est important qu'il y figure tout ce qui est relatif à l'affaire en cause pour assurer le respect du droit d'être entendu, garanti par l'art. 29 al. 2 Cst, et pour qu'il soit utile de consulter le dossier (L. MOREILLON / A. PAREIN-REYMOND, Petit commentaire CPP , Bâle 2016, n. 2 et 4 ad. art. 110). Ainsi, la violation de l'obligation de constituer un dossier complet peut porter atteinte au droit d'être entendu de l'accusé (ATF 115 Ia 97 consid. 4). Dans le cadre d'une procédure de non-entrée en matière, avant de rendre une ordonnance, le Ministère public n'a pas à informer les parties, ni à leur donner la possibilité d'exercer leur droit d'être entendu tel que garanti par l'art. 29 al. 2 Cst., celui-ci étant, le cas échéant, réparé dans le cadre de la procédure de recours (arrêts du Tribunal fédéral 6B_93/2014 du 21 août 2014 et 6B_43/2013 du 11 avril 2013 consid. 2.1).</w:t>
      </w:r>
    </w:p>
    <w:p>
      <w:r>
        <w:rPr>
          <w:b/>
        </w:rPr>
        <w:t>E. 2.2</w:t>
      </w:r>
    </w:p>
    <w:p>
      <w:r>
        <w:t>En l'occurrence, le recourant ne soutient pas que le dossier de la procédure P/3______/2019 ne figurait pas à la présente procédure au moment où la décision querellée a été rendue. Au surplus, le Ministère public n'a aucune obligation d'avertir les parties d'un tel apport. En outre, si une éventuelle omission a été commise, elle a, en toute hypothèse, été réparée dans le cadre de la procédure de recours, étant précisé que le Ministère public n'a, en principe, dans le cadre d'une non-entrée en matière, pas à consulter les parties et à leur accorder d'office l'accès au dossier avant de rendre une décision. Partant, ce grief sera rejeté.</w:t>
      </w:r>
    </w:p>
    <w:p>
      <w:r>
        <w:rPr>
          <w:b/>
        </w:rPr>
        <w:t>E. 3</w:t>
      </w:r>
    </w:p>
    <w:p>
      <w:r>
        <w:t>Le recourant reproche au Ministère public de ne pas être entré en matière sur sa plainte.</w:t>
      </w:r>
    </w:p>
    <w:p>
      <w:r>
        <w:rPr>
          <w:b/>
        </w:rPr>
        <w:t>E. 3.1</w:t>
      </w:r>
    </w:p>
    <w:p>
      <w:r>
        <w:t>Aux termes de l'art. 310 al. 1 let. a CP, le ministère public rend immédiatement une ordonnance de non-entrée en matière s'il ressort de la dénonciation ou du rapport de police que les éléments constitutifs de l'infraction ou les conditions à l'ouverture de l'action pénale ne sont pas réunis. Selon la jurisprudence, cette disposition doit être appliquée conformément à l'adage « in dubio pro duriore » (arrêt du Tribunal fédéral 6B_1456/2017 du 14 mai 2018 consid. 4.1). Celui-ci découle du principe de la légalité (art. 5 al. 1 Cst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Il faut être certain que l'état de fait ne constitue aucune infraction pour rendre une ordonnance de non-entrée en matière, ce qui est le cas des litiges purement civils (ATF 137 IV 285 consid.2.3). Le ministère public et l'autorité de recours disposent, dans ce cadre, d'un certain pouvoir d'appréciation. La procédure doit se poursuivre lorsqu'une condamnation apparaît plus vraisemblable qu'un acquittement ou lorsque les probabilités d'un acquittement et d'une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Des motifs juridiques peuvent justifier le prononcé d'une ordonnance de non-entrée en matière, par exemple lorsqu'il apparaît d'emblée que le comportement dénoncé ne constitue pas une infraction et n'est par conséquent pas punissable, ce qui est par exemple le cas lorsque le litige est de nature purement civile (ATF 137 IV 285 , JdT 2012 IV 160 ; L. MOREILLON / A. PAREIN-REYMOND, op. cit., n. 7 ad art. 310).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 du Tribunal fédéral 6B_356/2016 du 6 mars 2017 consid. 2.1). Lorsqu'il est question de transferts de somme d'argent, la condition de valeurs patrimoniales confiées n'est pas remplie si l'auteur reçoit l'argent pour lui-même, à titre de contre-partie d'une prestation qu'il a fournie pour son propre compte (M. DUPUIS / L. MOREILLON / C. PIGUET / S. BERGER / M. MAZOU / V. RODIGARI (éds), Code pénal - Petit commentaire , 2 e éd., Bâle 2017, n. 32 ad art. 138 et les références citées).</w:t>
      </w:r>
    </w:p>
    <w:p>
      <w:r>
        <w:rPr>
          <w:b/>
        </w:rPr>
        <w:t>E. 3.3</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Pour qu'il y ait escroquerie, il ne suffit pas qu'il y ait tromperie, il faut encore que celle-ci soit astucieuse. L'astuce est réalisée lorsque l'auteur recourt à un édifice de mensonges, à des manoeuvres frauduleuses ou à une mise en scène, mais aussi lorsqu'il donne simplement de fausses informations, si leur vérification n'est pas possible, ne l'est que difficile ou ne peut raisonnablement être exigée, de même que si l'auteur dissuade la dupe de vérifier ou prévoit, en fonction des circonstances, qu'elle renoncera à le faire en raison d'un rapport de confiance particulier (ATF 142 IV 153 consid. 2.2.2 ; 135 IV 76 consid. 5.2). L'astuce n'est en revanche pas réalisée si la dupe pouvait se protéger avec un minimum d'attention ou d'éviter l'erreur avec le minimum de prudence que l'on pouvait attendre d'elle (ATF 135 IV 76 consid. 5.2). De manière générale, celui qui promet une prestation sans avoir l'intention de l'exécuter agit astucieusement, parce qu'en promettant, il donne le change sur ses véritables intentions, ce que sa victime est dans l'impossibilité de vérifier (ATF 86 IV 205 JdT 1968 IV 8 ; ATF 73 IV 225 JdT 1948 IV 10). Le juge pénal n'a toutefois pas à accorder sa protection à celui qui est tombé dans un piège qu'un peu d'attention et de réflexion lui aurait permis d'éviter (arrêt du Tribunal fédéral 6B_319/2009 du 29 octobre 2009 consid. 2.2). L'astuce doit dès lors être niée lorsque les vérifications qui étaient faisables sans trop de difficultés auraient révélé que l'auteur n'était pas capable d'exécuter son obligation et, partant, que ses promesses ne seraient pas tenues (ATF 118 IV 259 JdT 1994 IV 172 consid. 2 ; arrêt du Tribunal fédéral 6B_239/2020 du 8 juin 2020 consid. 2.4).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En revanche, dans une vente conclue sur internet, il a été admis que la dupe avait agi avec légèreté en livrant contre facture un produit d'une importante valeur marchande à un inconnu sans examiner, au moins de manière sommaire, la solvabilité de celui-ci; l'escroquerie a donc été niée (ATF 142 IV 153 ).</w:t>
      </w:r>
    </w:p>
    <w:p>
      <w:r>
        <w:rPr>
          <w:b/>
        </w:rPr>
        <w:t>E. 3.4</w:t>
      </w:r>
    </w:p>
    <w:p>
      <w:r>
        <w:t>En l'espèce, il ressort du dossier que, le recourant, intéressé par la location d'un appartement, a versé à un certain D______ un montant total de CHF 4'200.- correspondant à trois mois de loyer, afin de conclure un contrat de bail. Conformément à la jurisprudence et la doctrine précitées, il ne s'agit donc pas de valeurs patrimoniales confiées. Partant, l'infraction d'abus de confiance n'est manifestement pas réalisée.</w:t>
      </w:r>
    </w:p>
    <w:p>
      <w:r>
        <w:rPr>
          <w:b/>
        </w:rPr>
        <w:t>E. 3.5</w:t>
      </w:r>
    </w:p>
    <w:p>
      <w:r>
        <w:t>Par ailleurs, le recourant a versé ce montant à un inconnu à la suite d'une annonce postée sur un site internet, le lendemain de la première prise de contact, et ce sans même avoir visité l'appartement proposé, ni posé aucune question ou procédé à des vérifications. Or, plusieurs éléments auraient dû éveiller sa méfiance, notamment que le contact de l'annonce, H______, l'ait redirigé vers une autre personne prétextant une « erreur de personne » ; qu'une avance de loyer de trois mois lui soit immédiatement demandée, sans même qu'il ait visité le bien ni signé de contrat ; que l'adresse donnée par l'interlocuteur soit à E______ [VS], alors que l'appartement proposé à la location se situe à C______ [GE], sans autre explication. Compte tenu du contexte précité, particulièrement douteux, il appartenait au recourant d'entreprendre certaines vérifications élémentaires avant tout versement, nonobstant son besoin urgent d'un logement, ce d'autant plus que l'existence de telles arnaques via internet est notoire. Ainsi, il pouvait être raisonnablement attendu de lui qu'il exige de visiter le bien avant tout versement, comme c'est le cas habituellement, ou, à tout le moins, vivant à Genève, qu'il se rende à la villa dans laquelle se situait l'appartement, afin de s'assurer de son existence, de l'identité du propriétaire et/ou du locataire figurant sur la boite aux lettres ou, encore, qu'il puisse constater que le bien proposé était bien à louer. Dès lors, au vu des circonstances, le recourant n'ayant pas fait preuve du minimum d'attention et de prudence qu'on pouvait exiger de lui, la condition d'astuce doit être niée. Partant, en l'absence d'un des éléments constitutifs, l'infraction d'escroquerie n'est manifestement pas non plus réalisée. Dans ces conditions, il apparaît inutile d'examiner si d'éventuels actes d'enquête permettraient d'identifier l'interlocuteur du recourant respectivement l'auteur de l'arnaque.</w:t>
      </w:r>
    </w:p>
    <w:p>
      <w:r>
        <w:rPr>
          <w:b/>
        </w:rPr>
        <w:t>E. 4</w:t>
      </w:r>
    </w:p>
    <w:p>
      <w:r>
        <w:t>Justifiée, l'ordonnance querellée sera donc confirmée et le recours rejeté.</w:t>
      </w:r>
    </w:p>
    <w:p>
      <w:r>
        <w:rPr>
          <w:b/>
        </w:rPr>
        <w:t>E. 5</w:t>
      </w:r>
    </w:p>
    <w:p>
      <w:r>
        <w:t>Le recourant,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