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P/1231/2017 vom 27. Februar 2017</w:t>
      </w:r>
    </w:p>
    <w:p>
      <w:r>
        <w:t>GE Cour de justice, 2017-02-27, FR</w:t>
      </w:r>
    </w:p>
    <w:p>
      <w:r>
        <w:rPr>
          <w:b/>
        </w:rPr>
        <w:t xml:space="preserve">Quelle: </w:t>
      </w:r>
      <w:r>
        <w:t>https://mcp.opencaselaw.ch/entscheid/ge_gerichte_P_1231_2017</w:t>
      </w:r>
    </w:p>
    <w:p>
      <w:r>
        <w:t>FR: GE_GERICHTE P/1231/2017 du 27 février 2017</w:t>
      </w:r>
    </w:p>
    <w:p>
      <w:r>
        <w:t>IT: GE_GERICHTE P/1231/2017 del 27 febbraio 2017</w:t>
      </w:r>
    </w:p>
    <w:p>
      <w:pPr>
        <w:pStyle w:val="Heading2"/>
      </w:pPr>
      <w:r>
        <w:t>Regeste</w:t>
      </w:r>
    </w:p>
    <w:p>
      <w:r>
        <w:t>RÉVISION(DÉCISION) ; MOYEN DE DROIT | CPP410.10.a CPP412</w:t>
      </w:r>
    </w:p>
    <w:p>
      <w:pPr>
        <w:pStyle w:val="Heading2"/>
      </w:pPr>
      <w:r>
        <w:t>Erwägungen</w:t>
      </w:r>
    </w:p>
    <w:p>
      <w:r>
        <w:rPr>
          <w:b/>
        </w:rPr>
        <w:t>E. 1</w:t>
      </w:r>
    </w:p>
    <w:p>
      <w:r>
        <w:t>La demande de révision prévue par la loi (art. 411 al. 1 CPP) a été transmise à l'autorité compétente pour en connaître.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 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En l'occurrence, la requérante ne se prévaut d'aucun fait ou moyen de preuve nouveau qui commanderait que la Chambre de céans entre en matière sur la demande en révision. Sous prétexte d'une telle requête, elle conteste en réalité l'ordonnance pénale, comme elle aurait eu toute latitude de le faire dans le cadre d'une opposition. Encore aurait-il fallu toutefois qu'elle agisse dans le délai légal. Or, la procédure de révision n'est pas la voie adéquate pour obtenir une restitution de délai, à supposer que l'intéressée ait été empêchée d'agir à temps sans sa faute, ce qu'elle ne soutient au demeurant pas. En aucun cas, une mise en perspective des faits à l'origine du litige ne constitue un moyen permettant la révision d'une décision entrée en force. Partant, et en l'absence de tout motif de révision, la demande sera déclarée irrecevable sans autre acte d'instruction.</w:t>
      </w:r>
    </w:p>
    <w:p>
      <w:r>
        <w:rPr>
          <w:b/>
        </w:rPr>
        <w:t>E. 3</w:t>
      </w:r>
    </w:p>
    <w:p>
      <w:r>
        <w:t>La requête étant rejetée, son auteure devrait supporter les frais de la procédure. Toutefois, vu les circonstances particulières, soit que la demande de révision a été transmise d'office à la Chambre de céans par le Tribunal de police, lesdits frais seront exceptionnellement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