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P/12283/2019 vom 17. Juni 2019</w:t>
      </w:r>
    </w:p>
    <w:p>
      <w:r>
        <w:t>GE Cour de justice, 2019-06-17, FR</w:t>
      </w:r>
    </w:p>
    <w:p>
      <w:r>
        <w:rPr>
          <w:b/>
        </w:rPr>
        <w:t xml:space="preserve">Quelle: </w:t>
      </w:r>
      <w:r>
        <w:t>https://mcp.opencaselaw.ch/entscheid/ge_gerichte_P_12283_2019</w:t>
      </w:r>
    </w:p>
    <w:p>
      <w:r>
        <w:t>FR: GE_GERICHTE P/12283/2019 du 17 juin 2019</w:t>
      </w:r>
    </w:p>
    <w:p>
      <w:r>
        <w:t>IT: GE_GERICHTE P/12283/2019 del 17 giugno 2019</w:t>
      </w:r>
    </w:p>
    <w:p>
      <w:pPr>
        <w:pStyle w:val="Heading2"/>
      </w:pPr>
      <w:r>
        <w:t>Regeste</w:t>
      </w:r>
    </w:p>
    <w:p>
      <w:r>
        <w:t>CONTRAINTE(DROIT PÉNAL);QUALITÉ POUR RECOURIR;INTÉRÊT JURIDIQUEMENT PROTÉGÉ;DÉNONCIATEUR | CPP.310; CP.181; CP.251; CP.305ter</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al.1 et 396 al.1 CPP) - les formalités de l'art. 85 al. 2 CPP n'ayant pas été observées - et concerne une ordonnance sujette à recours auprès de la Chambre de céans (art. 393 al.1 let. a CPP).</w:t>
      </w:r>
    </w:p>
    <w:p>
      <w:r>
        <w:rPr>
          <w:b/>
        </w:rPr>
        <w:t>E. 3</w:t>
      </w:r>
    </w:p>
    <w:p>
      <w:r>
        <w:t>Reste à déterminer si le recourant dispose de la qualité pour recourir.</w:t>
      </w:r>
    </w:p>
    <w:p>
      <w:r>
        <w:rPr>
          <w:b/>
        </w:rPr>
        <w:t>E. 3.1</w:t>
      </w:r>
    </w:p>
    <w:p>
      <w:r>
        <w:t>Le recourant, quel qu'il soit, doit être directement atteint dans ses droits et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(éds), Commentaire romand : Code de procédure pénale suisse , Bâle 2011, n. 2 ad art. 382 CPP). Est lésé, celui qui est atteint directement dans ses droits par l'infraction (art. 115 al. 1 CPP). Lorsque la norme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(ATF 139 IV 78 consid. 3.3.3 p. 81 ss ; 138 IV 258 consid. 2.2 et 2.3). Il suffit, dans la règle, que le bien juridique individuel dont le lésé invoque l'atteinte soit protégé secondairement ou accessoirement, même si la norme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arrêt du Tribunal fédéral 6B_531/2016 du 5 mai 2017 consid. 3.1. et les références citées). 3.2.1 En l'occurrence, le recourant n'a aucun intérêt juridiquement protégé à recourir contre le refus de poursuivre d'éventuelles infractions contre le patrimoine de ses parents. Il revêt tout au plus la qualité de dénonciateur et comme tel, n'avait pas d'autre droit que d'être informé des suites réservées à sa dénonciation (art. 301 al. 2 et 3 CPP), dont la communication de l'ordonnance querellée tenait lieu. Son recours est donc irrecevable au regard des chefs d'infractions aux art. 139, 146 et 156 CP. 3.2.2. Le recourant se plaint d'un défaut de vigilance en matière d'opérations financières (art. 305ter CP). Or, cette disposition protège exclusivement l'administration de la justice, à l'exclusion d'éventuels intérêts patrimoniaux individuels (arrêt du Tribunal fédéral 6B_500/2017 du 20 septembre 2017 consid. 2.3 et les références citées). Il en résulte que le recourant ne peut pas prétendre avoir été atteint directement dans ses droits, cette norme n'ayant pas pour but de protéger ses propres intérêts. Il ne saurait, dès lors, en déduire un droit subjectif, au sens de l'art. 382 al. 1 CPP, de sorte que son recours est également irrecevable sous cet angle. 3.2.3. Il en va de même pour la violation alléguée de l'art. 251 CP. L'art. 251 CP protège, en tant que bien juridique, d'une part, la confiance particulière placée dans un titre ayant valeur probante dans les rapports juridiques et, d'autre part, la loyauté dans les relations commerciales (ATF 129 IV 53 consid. 3.2). Comme telle, la disposition vise d'abord un bien juridique collectif. Toutefois, le faux dans les titres peut également porter atteinte à des intérêts individuels. Une personne peut donc être considérée comme lésée par un faux dans les titres lorsque le faux vise précisément à lui nuire (ATF 140 IV 155 consid. 3.3.3 p. 159). En l'espèce, le recourant n'est nullement lésé par l'accusation qu'il porte contre l'intimée. En effet, même à le suivre, soit à supposer que le formulaire ADE remis au bureau de change soit un faux, celui-ci n'aurait pas pu lui nuire mais tromper le cocontractant auquel il était destiné, soit la société mise en cause. Faute d'être lésé, le recourant ne dispose pas de la qualité de partie plaignante au regard de cette infraction, et partant de la qualité pour recourir. Son recours est donc irrecevable au regard de cette infraction. Il est, en revanche, recevable s'agissant de l'infraction visée par l'art. 181 CP.</w:t>
      </w:r>
    </w:p>
    <w:p>
      <w:r>
        <w:rPr>
          <w:b/>
        </w:rPr>
        <w:t>E. 4.1</w:t>
      </w:r>
    </w:p>
    <w:p>
      <w:r>
        <w:t>.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R. PFISTER-LIECHTI (éd.), La procédure pénale fédérale , Fondation pour la formation continue des juges suisses ,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 n. 10 ad art. 310).</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Ainsi, menacer autrui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p. 20; arrêt du Tribunal fédéral 6B_172/2019 du 5 juillet 2019 consid. 2.3).</w:t>
      </w:r>
    </w:p>
    <w:p>
      <w:r>
        <w:rPr>
          <w:b/>
        </w:rPr>
        <w:t>E. 4.3</w:t>
      </w:r>
    </w:p>
    <w:p>
      <w:r>
        <w:t>En l'espèce, le recourant s'est rendu auprès du bureau de change B______ afin de convertir une somme de CHF 6'000.- en euros. Cette opération de change, supérieure à CHF 5'000.-, était soumise à la loi sur le blanchiment d'argent (Art. 4 al. 1 let. a à c LBA et art. 12 al. 1 et 18 al. 1 OBA-FINMA). Il ressort des pièces produites au dossier qu'il a signé le formulaire ADE qui lui a été présenté à cette occasion. Certes, le recourant soutient que la signature dudit formulaire serait intervenue sous la contrainte, l'agent l'ayant menacé de ne pas lui restituer la somme confiée, en cas de refus de signer le formulaire en question. Il sied néanmoins de relever que l'identification de l'ayant droit économique constitue une obligation légale, de sorte qu'elle ne saurait être considérée comme un moyen de pression illicite, et assimilée à un acte de violence au sens de l'art. 181 CP ou de réelle intimidation. Le recourant n'explicite, d'ailleurs, en aucune manière de quelle sorte de violence ou menace aurait usé l'agent pour l'obliger à signer ledit formulaire. Par conséquent, les éléments constitutifs d'une infraction ne sont manifestement pas remplis et les probabilités d'un acquittement sont largement supérieures à celle d'une condamnation. Aucune mesure d'instruction pertinente ne paraît à même de modifier ce constat. C'est donc à bon droit que le Ministère public a renoncé à entrer en matière.</w:t>
      </w:r>
    </w:p>
    <w:p>
      <w:r>
        <w:rPr>
          <w:b/>
        </w:rPr>
        <w:t>E. 5</w:t>
      </w:r>
    </w:p>
    <w:p>
      <w:r>
        <w:t>Le recourant se plaint d'une violation des art. 3 et 6 CEDH. Force est néanmoins de constater que la pertinence des dispositions alléguées ne s'impose pas in casu , les principes invoqués ne fondant pas la prévention d'une infraction. Infondé, le grief sera dès lors rejeté.</w:t>
      </w:r>
    </w:p>
    <w:p>
      <w:r>
        <w:rPr>
          <w:b/>
        </w:rPr>
        <w:t>E. 6</w:t>
      </w:r>
    </w:p>
    <w:p>
      <w:r>
        <w:t>Justifiée, l'ordonnance querellée sera donc confirmée.</w:t>
      </w:r>
    </w:p>
    <w:p>
      <w:r>
        <w:rPr>
          <w:b/>
        </w:rPr>
        <w:t>E. 7</w:t>
      </w:r>
    </w:p>
    <w:p>
      <w:r>
        <w:t>Le recourant, qui succombe, a sollicité d'être mis au bénéfice de l'assistance judiciaire.</w:t>
      </w:r>
    </w:p>
    <w:p>
      <w:r>
        <w:rPr>
          <w:b/>
        </w:rPr>
        <w:t>E. 7.1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7.2</w:t>
      </w:r>
    </w:p>
    <w:p>
      <w:r>
        <w:t>En l'espèce, quand bien même le recourant serait indigent, il a été jugé supra que ses griefs étaient juridiquement infondés ou irrecevables. La requête ne peut dès lors qu'être rejetée.</w:t>
      </w:r>
    </w:p>
    <w:p>
      <w:r>
        <w:rPr>
          <w:b/>
        </w:rPr>
        <w:t>E. 8</w:t>
      </w:r>
    </w:p>
    <w:p>
      <w:r>
        <w:t>Le recourant, qui succombe, supportera les frais envers l'État, qui seront arrêtés à CHF 900.- (art. 428 al. 1 CPP et 13 al. 1 du Règlement fixant le tarif des frais en matière pénale, RTFMP ; E 4 10.03). 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