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P/12225/2011 vom 5. März 2013</w:t>
      </w:r>
    </w:p>
    <w:p>
      <w:r>
        <w:t>GE Cour de justice, 2013-03-05, FR</w:t>
      </w:r>
    </w:p>
    <w:p>
      <w:r>
        <w:rPr>
          <w:b/>
        </w:rPr>
        <w:t xml:space="preserve">Quelle: </w:t>
      </w:r>
      <w:r>
        <w:t>https://mcp.opencaselaw.ch/entscheid/ge_gerichte_P_12225_2011</w:t>
      </w:r>
    </w:p>
    <w:p>
      <w:r>
        <w:t>FR: GE_GERICHTE P/12225/2011 du 5 mars 2013</w:t>
      </w:r>
    </w:p>
    <w:p>
      <w:r>
        <w:t>IT: GE_GERICHTE P/12225/2011 del 5 marzo 2013</w:t>
      </w:r>
    </w:p>
    <w:p>
      <w:pPr>
        <w:pStyle w:val="Heading2"/>
      </w:pPr>
      <w:r>
        <w:t>Regeste</w:t>
      </w:r>
    </w:p>
    <w:p>
      <w:r>
        <w:t>MOTIVATION DE LA DÉCISION; ASSISTANCE JUDICIAIRE; DÉFENSE D'OFFICE; INDEMNITÉ(EN GÉNÉRAL) | CPP.80; CPP.135; RAJ. 16</w:t>
      </w:r>
    </w:p>
    <w:p>
      <w:pPr>
        <w:pStyle w:val="Heading2"/>
      </w:pPr>
      <w:r>
        <w:t>Erwägungen</w:t>
      </w:r>
    </w:p>
    <w:p>
      <w:r>
        <w:rPr>
          <w:b/>
        </w:rPr>
        <w:t>E. 1</w:t>
      </w:r>
    </w:p>
    <w:p>
      <w:r>
        <w:t>Le recours est recevable pour avoir été déposé selon la forme et dans le délai prescrits (art. 393, 396 et 90 al. 2 CPP), concerner une décision sujette à recours auprès de la Chambre de céans (art. 20 al. 1 let. a, art. 393 al. 1 let. b et 135 al. 3 let. a CPP; art. 128 al. 1 let. a et al. 2 let. a LOJ) et émaner du défenseur d'office qui a qualité pour recourir (art. 135 al. 3 let. a CPP).</w:t>
      </w:r>
    </w:p>
    <w:p>
      <w:r>
        <w:rPr>
          <w:b/>
        </w:rPr>
        <w:t>E. 2</w:t>
      </w:r>
    </w:p>
    <w:p>
      <w:r>
        <w:t>Le recourant se plaint, dans un premier grief d'ordre formel, d'une motivation insuffisante de la décision.</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w:t>
      </w:r>
    </w:p>
    <w:p>
      <w:r>
        <w:rPr>
          <w:b/>
        </w:rPr>
        <w:t>E. 2.2</w:t>
      </w:r>
    </w:p>
    <w:p>
      <w:r>
        <w:t>En l'espèce, et malgré l'opinion du recourant, la décision querellée comporte une motivation suffisante qui permet, d'une part, au justiciable de comprendre la décision et, d'autre part, à l'autorité de recours d'exercer suffisamment son contrôle. On ne saurait concevoir qu'une autorité chargée d'indemniser un défenseur d'office entre dans une analyse encore plus poussée que celle à laquelle s'est livré le Tribunal correctionnel et quel intérêt du recourant la justifierait. La motivation de l'ordonnance entreprise respecte ainsi les règles posées par la loi et la jurisprudence.</w:t>
      </w:r>
    </w:p>
    <w:p>
      <w:r>
        <w:rPr>
          <w:b/>
        </w:rPr>
        <w:t>E. 3</w:t>
      </w:r>
    </w:p>
    <w:p>
      <w:r>
        <w:t>Du point de vue matériel, le recourant reproche à l'autorité précédente d'avoir considéré à tort que la cause ne présentait pas une complexité particulière, qu'un forfait fixé à 10% pour les courriers et téléphones était suffisant et que le temps consacré à ce dossier était excessif.</w:t>
      </w:r>
    </w:p>
    <w:p>
      <w:r>
        <w:rPr>
          <w:b/>
        </w:rPr>
        <w:t>E. 3.1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 E 2 05.04). Selon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3.2</w:t>
      </w:r>
    </w:p>
    <w:p>
      <w:r>
        <w:t>En l'espèce, c'est à juste titre que l'autorité précédente a considéré que la cause ne présentait pas une complexité justifiant un nombre d'heures de travail aussi important. D'ailleurs, le recourant, se limitant à indiquer que la cause comportait des contradictions, des zones d'ombre et qu'il avait fallu entendre quatre témoins, n'allègue aucun élément concret tendant à démontrer en quoi des questions particulières de fait ou de droit se seraient posées. En outre, en tant que le recourant reproche au Tribunal correctionnel d’avoir réduit à 10% le forfait « courriers/téléphones », il convient de relever qu’il n’existe, en la matière, aucune base légale ou réglementaire qui fixerait ledit forfait à 20% du total de l’activité déployée pour les autres postes de l’état de frais. Bien au contraire, ce forfait doit pouvoir être adapté en fonction de la nature et de l’importance de l’activité réellement déployée par l’avocat, conformément à l’usage en matière d’assistance juridique ( TAX/202/2012 du 3 avril 2012 ; TAX/201/2012 du 26 mars 2012). Au vu des pièces du dossier, l’allocation d’un forfait de 10% pour le poste « courriers/téléphones » apparaît pleinement justifiée, le recourant ne démontrant et n’alléguant, au demeurant, pas avoir déployé, à ce titre, une activité justifiant la prise en compte d’un forfait correspondant à 20% du total de l’activité déployée pour les autres postes de son état de frais. Enfin, l'appréciation du Tribunal correctionnel de la durée du travail qui se justifiait pour un dossier de ce type et de cette envergure ne constitue pas un excès du pouvoir qui lui est accordé par l'art. 16 RAJ. Les arguments invoqués par le recourant ne permettent pas de renverser cette constatation, puisque le défraiement d'un défenseur d'office ne couvre, comme le prévoit expressément l'art. 16 al. 2 RAJ, que les heures nécessaire à la défense du client. Dans le cas d'espèce, le nombre de visites au détenu et la durée de rédaction de deux recours et d'observations sont de toute évidence excessives. Quant à l'audience de jugement, ainsi que cela résulte de son procès-verbal, sa durée est inférieure à celle invoquée par le recourant. Dans ces circonstances, il apparaît que le Tribunal correctionnel a réduit, à juste titre, l'état de frais du recourant.</w:t>
      </w:r>
    </w:p>
    <w:p>
      <w:r>
        <w:rPr>
          <w:b/>
        </w:rPr>
        <w:t>E. 4</w:t>
      </w:r>
    </w:p>
    <w:p>
      <w:r>
        <w:t>Justifiée, l'ordonnance querellée sera confirmée.</w:t>
      </w:r>
    </w:p>
    <w:p>
      <w:r>
        <w:rPr>
          <w:b/>
        </w:rPr>
        <w:t>E. 5</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