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P/12222/2018 vom 9. Oktober 2019</w:t>
      </w:r>
    </w:p>
    <w:p>
      <w:r>
        <w:t>GE Cour de justice, 2019-10-09, FR</w:t>
      </w:r>
    </w:p>
    <w:p>
      <w:r>
        <w:rPr>
          <w:b/>
        </w:rPr>
        <w:t xml:space="preserve">Quelle: </w:t>
      </w:r>
      <w:r>
        <w:t>https://mcp.opencaselaw.ch/entscheid/ge_gerichte_P_12222_2018</w:t>
      </w:r>
    </w:p>
    <w:p>
      <w:r>
        <w:t>FR: GE_GERICHTE P/12222/2018 du 9 octobre 2019</w:t>
      </w:r>
    </w:p>
    <w:p>
      <w:r>
        <w:t>IT: GE_GERICHTE P/12222/2018 del 9 ottobre 2019</w:t>
      </w:r>
    </w:p>
    <w:p>
      <w:pPr>
        <w:pStyle w:val="Heading2"/>
      </w:pPr>
      <w:r>
        <w:t>Regeste</w:t>
      </w:r>
    </w:p>
    <w:p>
      <w:r>
        <w:t>FIXATION DE LA PEINE;DISPOSITIONS PÉNALES DE LA LSTUP;SÉJOUR ILLÉGAL;OPPOSITION À UN ACTE DE L'AUTORITÉ;EXPULSION(DROIT PÉNAL);CONCOURS D'INFRACTIONS;PEINE COMPLÉMENTAIRE | LEI.115.al1.letB; CP.66bis; LEI.119.al1; CP.286.al1; LSTUP.19a.ch1; LSTUP.19.al1.letd</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3.1. Par arrêté fédéral du 18 juin 2010 (RO 2010 5925), la Suisse a repris la Directive sur le retour.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6B_1172/2014 du 23 novembre 2015 ; 6B_525/2014 du 9 octobre 2014 consid. 1.1 et les références citées ; 6B_196/2012 du 24 janvier 2013 consid. 2.1 ; 6B_173/2013 du 19 août 2013 consid. 1.1 à 1.4). La Directive sur le retour définit à son art. 3 par. 2 le " séjour irrégulier " comme : " la présence sur le territoire d'un Etat membre d'un ressortissant d'un pays tiers qui ne remplit pas, ou ne remplit plus, les conditions d'entrée énoncées à l'article 5 du code frontières Schengen, ou d'autres conditions d'entrée, de séjour ou de résidence dans cet Etat membre ". 2.3.2.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sur le retour (arrêts du Tribunal fédéral 6B_1061/2016 du 19 juillet 2017 consid. 2.2 ; 1B_162/2015 du 1er juillet 2015 consid. 2.3 ; AARP/166/2017 du 17 mai 2017 consid. 2.2.3 ; AARP/426/2016 du 21 octobre 2016 consid. 3.1.3 ; AARP/307/2016 du 4 août 2016 consid. 2.3 ; ACPR/173/2015 du 23 mars 2015 consid. 3.4 in medio , qui différencie deux motifs distincts justifiant la non applicabilité de la Directive sur le retour, dont l'absence de séjour irrégulier). 2.3.3. Selon l'art. 2 ch. 2 let. b de la Directive sur le retour, les Etats membres peuvent décider de ne pas appliquer la présente directive aux ressortissants de pays faisant l'objet d'une sanction pénale prévoyant ou ayant pour conséquence leur retour, conformément au droit national, ou faisant l'objet de procédures d'extradition. La CJUE a ainsi précisé que les ressortissants de pays tiers ayant, outre le délit de séjour irrégulier, commis un ou plusieurs autres délits, pouvaient le cas échéant, être soustraits au champ d'application de la directive (arrêt du 6 décembre 2011 C-329/11 Achughbabian, par. 39 à 41). Suivant la jurisprudence européenne, il y a donc lieu d'admettre que la Directive sur le retour n'est pas applicable aux ressortissants des pays tiers qui ont commis, outre le séjour irrégulier, un ou plusieurs autres délits (art. 2 ch. 2 let. b de la Directive sur le retour) en dehors du droit pénal sur les étrangers (arrêts du Tribunal fédéral 6B_931/2016 du 6 juin 2017 consid. 2.3 ; 6B_366/2016 du 15 mai 2017 consid. 2.4 et 2.6 destiné à la publication ; 1B_422/2016 du 7 décembre 2016 consid. 2.2 ; 6B_1189/2015 du 13 octobre 2016 consid. 2.1 ; 6B_320/2013 du 29 août 2013 consid. 3.2). Compte tenu des objectifs visés par la Directive sur le retour (notamment fixer des règles communes applicables au retour et à l'éloignement des ressortissants d'Etats tiers en séjour irrégulier), il y a lieu de distinguer la violation d'une interdiction de périmètre prononcée en lien avec la mise en oeuvre du renvoi (art. 119 cum art. 74 al. 1 let. b et c LEI) de celle prononcée en raison du comportement de l'intéressé troublant ou menaçant la sécurité et l'ordre public (art. 119 cum art. 74 al. 1 let. a LEI). Alors que le premier demeure soumis à la Directive sur le retour en vertu de la jurisprudence européenne et fédérale, le second, ayant violé une mesure visant à protéger en priorité la sécurité et l'ordre public, en particulier en matière de stupéfiants (cf. notamment arrêt du Tribunal fédéral 2C_197/2013 du 31 juillet 2013 consid. 3.1) est soustrait au champ d'application de la Directive sur le retour. En effet, dans cette dernière configuration, l'interdiction de périmètre n'est pas liée à la procédure de renvoi visée par la Directive sur le retour (arrêt du Tribunal fédéral 6B_366/2016 du 15 mai 2017 consid. 2.6.2 destiné à la publication).</w:t>
      </w:r>
    </w:p>
    <w:p>
      <w:r>
        <w:rPr>
          <w:b/>
        </w:rPr>
        <w:t>E. 2.1</w:t>
      </w:r>
    </w:p>
    <w:p>
      <w:r>
        <w:t>L'infraction de non-respect d'une assignation à un lieu de résidence ou d'une interdiction de pénétrer dans une région déterminée (art. 119 al. 1 LEI) est sanctionnée par une peine privative de liberté de trois ans au plus ou une peine pécuniaire, le séjour illégal (art. 115 al. 1 let. b LEI) par une peine privative de liberté d'un an au plus ou une peine pécuniaire, tandis que l'empêchement d'accomplir un acte officiel (art. 286 al. 1 CP) l'est d'une peine pécuniaire de 30 jours au plus et la contravention à la LStup (art. 19a ch. 1 LStup) d'une amende.</w:t>
      </w:r>
    </w:p>
    <w:p>
      <w:r>
        <w:rPr>
          <w:b/>
        </w:rPr>
        <w:t>E. 2.4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2.5</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rPr>
          <w:b/>
        </w:rPr>
        <w:t>E. 2.6</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w:t>
      </w:r>
    </w:p>
    <w:p>
      <w:r>
        <w:rPr>
          <w:b/>
        </w:rPr>
        <w:t>E. 2.7</w:t>
      </w:r>
    </w:p>
    <w:p>
      <w:r>
        <w:t>Selon l'art. 46 al. 1 CP dans sa version en vigueur depuis le 1 er janvier 2018, si, durant le délai d'épreuve, le condamné commet un crime ou un délit et qu'il y a dès lors lieu de prévoir qu'il commettra de nouvelles infractions, le juge révoque le sursis ou le sursis partiel. Si la peine révoquée et la nouvelle peine sont de même genre, une peine d'ensemble est fixée en application par analogie de l'art. 49 CP.</w:t>
      </w:r>
    </w:p>
    <w:p>
      <w:r>
        <w:rPr>
          <w:b/>
        </w:rPr>
        <w:t>E. 2.8</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2.9</w:t>
      </w:r>
    </w:p>
    <w:p>
      <w:r>
        <w:t>Selon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2.10</w:t>
      </w:r>
    </w:p>
    <w:p>
      <w:r>
        <w:t>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215 ; 119 IV 330 consid. 3). La situation économique déterminante est celle de l'auteur au moment où l'amende est prononcée (arrêt du Tribunal fédéral 6B_547/2012 du 26 mars 2013 consid. 3.4 et les références). La volonté d'empêcher le délinquant de tirer profit de l'infraction qu'il a commise ne doit pas se traduire dans la fixation du montant de l'amende, mais dans l'application des règles régissant la confiscation (ATF 132 IV 140 , consid. 6.3 ; M. DUPUIS / L. MOREILLON / C. PIGUET / S. BERGER / M. MAZOU / V. RODIGARI [éds], Code pénal - Petit commentaire , 2ème éd., Bâle 2017, n. 3 ad art. 106). Un jour de peine privative de liberté de substitution (art. 106 al. 2 CP) correspond schématiquement à CHF 100.- d'amende (R. ROTH / L. MOREILLON [éds], Code pénal I : art. 1-100 CP , Bâle 2009, n. 19 ad art. 106).</w:t>
      </w:r>
    </w:p>
    <w:p>
      <w:r>
        <w:rPr>
          <w:b/>
        </w:rPr>
        <w:t>E. 2.11</w:t>
      </w:r>
    </w:p>
    <w:p>
      <w:r>
        <w:t>En l'espèce, l'appelant conteste la nature et les quotités des peines prononcées par le premier juge. Sa faute doit être considérée comme moyennement lourde. Il a intentionnellement séjourné sur le territoire suisse durant des périodes successives, entrecoupées uniquement par ses arrestations, pour une durée totale d'environ cinq mois, sans être au bénéfice ni d'une autorisation de séjour valable, ni porteur d'un document d'identité valable et sans disposer de moyens de subsistance suffisants alors même qu'il faisait l'objet d'une interdiction d'entrée en Suisse valablement notifiée. Il a aussi fait fi de l'interdiction de périmètre dont il était frappé jusqu'au 24 août 2019, persistant à se rendre dans le canton de Genève, alors même qu'il soutient résider dans un foyer à C______ [VD]. Il a par ailleurs tenté de se soustraire à un acte officiel de la police et a, de son propre aveu, consommé régulièrement des stupéfiants. Il a ainsi agi avec un mépris manifeste pour les autorités et de l'ordre juridique suisse. Son mobile relève de son seul agrément de rester sur le territoire suisse. Le fait que la police ne lui aurait pas restitué son passeport en 2017, si avéré, ne l'empêche pas d'entreprendre des démarches pour en obtenir un nouveau, cas échéant avec des organismes d'aide au départ et le Consulat. La collaboration de l'intimé ne peut être qualifiée de bonne. Il a certes reconnu les faits qui lui étaient reprochés, mais pouvait difficilement les contester compte tenu des circonstances de ses interpellations. Il a toutefois refusé à plusieurs reprises, soit lors de ses arrestations du 7 août 2018 et du 20 octobre 2018, de répondre aux questions de la police et de signer les documents de procédure. Sa prise de conscience est inexistante, dès lors qu'il persiste dans ses comportements illégaux en dépit de condamnations prononcées antérieurement pour des infractions similaires. Ses précédentes condamnations, au nombre de six depuis 2015 pour violation de la LEtr (LEI) et de quatre pour infractions à la LStup (délits et contraventions), notamment à deux peines privative de liberté, ne l'ont pas dissuadé de récidiver. Le pronostic quant à son comportement futur est donc mauvais. Même si la précarité de sa situation personnelle peut expliquer en partie ses agissements, elle ne saurait les justifier, ce d'autant moins qu'elle est la conséquence de sa décision de rester illégalement en Suisse. S'agissant du type de peine devant être prononcée en l'espèce, il est tout d'abord relevé qu'en raison des infractions d'empêchement d'accomplir un acte officiel (art. 286 CP) ainsi qu'à l'art 119 LEI, en sus du séjour illégal, la Directive sur le retour ne trouve pas application en l'espèce. Une peine privative de liberté peut dès lors être prononcée. Or, il est manifeste, comme mentionné supra , que le pronostic quant au comportement futur de l'intimé est défavorable, dans la mesure où il a délibérément persisté dans ses agissements délictueux en dépit de ses précédentes condamnations pour des infractions similaires, soit notamment une peine privative de liberté de cinq mois purgée en 2016, et des sursis assortis de délais d'épreuve qui lui ont été accordés. Sa situation personnelle actuelle n'est pas meilleure que celle existant au moment des infractions et il ne démontre pas avoir changé d'attitude. Il n'est pas autorisé à travailler en Suisse et ne dispose d'aucune source de revenu, de sorte qu'il ne sera pas en mesure de s'acquitter d'une peine pécuniaire. Dans ces conditions, une peine privative de liberté ferme s'impose, puisqu'elle apparaît être le seul moyen de détourner l'intimé de la commission de nouvelles infractions. Si le MP peut être suivi s'agissant du type de peine à prononcer, il ne saurait toutefois l'être s'agissant de sa quotité. En l'espèce, le séjour illégal devrait être sanctionné de 60 jours de peine privative de liberté, tandis que l'infraction à l'art. 119 al. 1 LEI devrait être sanctionnée d'une peine privative de liberté de la même durée vu la récidive. Il y a concours entre ces deux infractions, ce qui commande une augmentation de la peine fixée pour la plus grave d'entre elles (la seconde) dans une juste proportion. Il ne saurait en outre être fait abstraction du caractère continu du délit de séjour illégal et de la nécessité que la somme des peines prononcées du chef de cette infraction soit adaptée à la culpabilité considérée dans son ensemble et n'excède la peine maximale prévue par la loi. Dans la mesure où une peine privative de liberté est prononcée, elle doit encore être fixée de manière complémentaire à la peine privative de liberté de 30 jours prononcée par le Ministère public de l'arrondissement de E______ le 21 janvier 2019. C'est ainsi au final une peine de 110 jours qui sera prononcée dans la présente procédure. La peine pécuniaire venant sanctionner la violation de l'art. 286 CP devrait être fixée à 20 jours-amende à CHF 10.- l'unité, le minimum légal, afin de tenir compte de la situation financière de l'intimé. Elle est néanmoins complémentaire à la peine pécuniaire de 30 jours-amende prononcée par le Ministère public de C______ [VD] le 25 octobre 2018. Ainsi, elle sera fixée à 10 jours-amende, à CHF 10.- l'unité. L'amende de CHF 200.- prononcée pour sanctionner la consommation régulière de l'intimé de cocaïne et de marijuana ainsi que d'ecstasy le 20 octobre 2018, tient adéquatement compte de sa faute. Son montant doit être suffisamment dissuasif pour le détourner d'une telle consommation à l'avenir. Il est encore conforme à sa situation personnelle. La peine privative de liberté de substitution de deux jours est pour le surplus conforme à la correspondance schématique usuellement appliquée. Partant l'appel du MP sur ce point sera rejeté. La renonciation à révoquer les sursis octroyés les 29 juillet 2015 et 5 août 2015 par les Ministères publics de Genève et de C______ [VD] est acquise à l'intimé.</w:t>
      </w:r>
    </w:p>
    <w:p>
      <w:r>
        <w:rPr>
          <w:b/>
        </w:rPr>
        <w:t>E. 3</w:t>
      </w:r>
    </w:p>
    <w:p>
      <w:r>
        <w:t>3.1. 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 AARP/202/2017 du 16 juin 2017 consid. 2.5). Il s'agit d'une Kannvorschrift (G. MÜNCH / F. DE WECK, Die neue Landes-verweisung,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w:t>
      </w:r>
    </w:p>
    <w:p>
      <w:r>
        <w:rPr>
          <w:b/>
        </w:rPr>
        <w:t>E. 3.2</w:t>
      </w:r>
    </w:p>
    <w:p>
      <w:r>
        <w:t>En l'espèce, si la nature et la gravité des infractions commises dans le cadre de cette procédure par l'intimé sont de gravité moindre, l'ensemble de ses antécédents interpelle. En effet, outre qu'il séjourne en Suisse sans titre valable depuis 2015, l'intimé s'est rendu coupable de manière réitérée de délits à la LStup (art. 19 al. 1 LStup) et d'infractions à la LEI (art. 115 al. 1 let. b et 119 al. 1 LEI). Son comportement témoigne de son mépris de l'ordre juridique et de son incapacité à le respecter depuis quatre ans. La Cour constate que l'intimé a en particulier été condamné à une peine privative de liberté d'ensemble de cinq mois fin janvier 2017, qui ne l'a pas empêché de persister dans ses agissements délictueux. Il a en outre récidivé à plusieurs reprises durant ses délais d'épreuve alors qu'il avait été mis au bénéfice de deux sursis. Les sanctions prononcées contre l'intéressé ne parviennent manifestement pas à l'empêcher de commettre de nouvelles infractions. Il est, dans ces conditions, à craindre sérieusement qu'il menace à nouveau l'ordre et la sécurité publics. La durée du séjour en Suisse de l'intimé n'est pas particulièrement longue et, de surcroît, dit séjour n'a jamais été autorisé. Il est la conséquence d'un comportement illicite, et non d'une tolérance particulière des autorités. Il ne peut dès lors pas être retenu dans l'appréciation des conditions du prononcé d'une expulsion. L'intimé ne s'est jamais intégré en Suisse et, du fait de son statut administratif, n'a jamais eu d'activité professionnelle déclarée. Il est sans domicile, dormant dans un foyer. De surcroît, aucun membre de sa famille ne réside en Suisse. Sa crainte s'agissant de représailles de passeurs dont il ferait l'objet au Sénégal s'il venait à y retourner n'est pas établie. Ainsi, au regard de ce qui précède, une expulsion d'une durée de trois ans apparaît adéquate et sera prononcée. L'appel du MP sera partiellement admis sur ce point.</w:t>
      </w:r>
    </w:p>
    <w:p>
      <w:r>
        <w:rPr>
          <w:b/>
        </w:rPr>
        <w:t>E. 4</w:t>
      </w:r>
    </w:p>
    <w:p>
      <w:r>
        <w:t>2. Les frais arrêtés en première instance seront confirmés (art. 426 CPP).</w:t>
      </w:r>
    </w:p>
    <w:p>
      <w:r>
        <w:rPr>
          <w:b/>
        </w:rPr>
        <w:t>E. 4.1</w:t>
      </w:r>
    </w:p>
    <w:p>
      <w:r>
        <w:t>L'appel ayant été admis partiellement deux tiers des frais de la procédure d'appel seront mis à la charge de l'intimé et le solde sera laissé à la charge de l'Etat (art. 428 CPP).</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 En conclusion, l'indemnité sera arrêtée à CHF 904.70, correspondant à trois heures et trente minutes d'activité de chef d'étude au tarif de CHF 200.-/heure, majoration forfaitaire de 20% en CHF 140.- et équivalent de la TVA au taux de 7.7% en CHF 64.70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