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P/12222/2013 vom 17. Juni 2015</w:t>
      </w:r>
    </w:p>
    <w:p>
      <w:r>
        <w:t>GE Cour de justice, 2015-06-17, FR</w:t>
      </w:r>
    </w:p>
    <w:p>
      <w:r>
        <w:rPr>
          <w:b/>
        </w:rPr>
        <w:t xml:space="preserve">Quelle: </w:t>
      </w:r>
      <w:r>
        <w:t>https://mcp.opencaselaw.ch/entscheid/ge_gerichte_P_12222_2013</w:t>
      </w:r>
    </w:p>
    <w:p>
      <w:r>
        <w:t>FR: GE_GERICHTE P/12222/2013 du 17 juin 2015</w:t>
      </w:r>
    </w:p>
    <w:p>
      <w:r>
        <w:t>IT: GE_GERICHTE P/12222/2013 del 17 giugno 2015</w:t>
      </w:r>
    </w:p>
    <w:p>
      <w:pPr>
        <w:pStyle w:val="Heading2"/>
      </w:pPr>
      <w:r>
        <w:t>Regeste</w:t>
      </w:r>
    </w:p>
    <w:p>
      <w:r>
        <w:t>IN DUBIO PRO REO; DIFFAMATION; PLAINTE PÉNALE; PLAIGNANT; ACQUITTEMENT; INDEMNITÉ(EN GÉNÉRAL); HONORAIRES; AVOCAT | CP 173 ; CPP 429.1.a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Avant de se demander si les propos reproduits dans l'acte d'accusation sont diffamatoires au sens de l'art. 173 CP, il convient de déterminer qui était visé, de l'appelant ou de H______, étant rappelé que seul le premier a déposé plainte pénale et que l'infraction ne se poursuit pas d'office. Au-delà de l'interrogation qui subsisterait, s'agissant de l'emploi du pluriel, on peut concevoir que l'appelant ait pensé, en en prenant connaissance, que le texte litigieux l'accusait d'avoir abusé de la faiblesse de E______ pour "récupérer" leur fils, puisque tel a bien été un reproche de cette dernière. Comme le fait valoir le MP, une analyse purement grammaticale et sémantique de la proposition "certains adultes qui n'ont pas hésité à lui nuire pour le récupérer" conforterait sa perception, dès lors qu'en toute hypothèse, il ne saurait être question d'une démarche de H______ tendant à récupérer l'enfant dans le but de nuire à sa mère. Toutefois, l'intimée, suivie par le premier juge, explique avoir voulu dire que H______ avait nui à E______ en l'accusant d'avoir conçu de récupérer son enfant par voie d'enlèvement, avec pour conséquence que le droit de visite avait été suspendu, et que dans ce contexte il l'avait manipulée, notamment en lui promettant qu'il l'épouserait et qu'ils pourraient vivre tous trois ensemble. Cette thèse suppose un style rédactionnel pour le moins défaillant, ce qui est assez courant et partant possible. Elle concorde par ailleurs avec les éléments du dossier, puisqu'il est établi que H______ a affirmé avoir été l'amant de E______, contexte dans lequel il aurait pu évoquer des projets de mariage et de vie de famille, et que suite à sa fausse dénonciation mensongère, celle-ci a été privée du droit de visite, certes surveillé, dont elle bénéficiait. Même si l'index des pièces ou le journal des opérations ne la mentionnent pas, l'attestation a nécessairement été produite dans la procédure pénale H______, dès lors que c'est en recevant une copie de ce dossier que l'appelant en a eu connaissance ; cela tend à confirmer que dans l'esprit de l'intimée comme dans celui de l'avocat qui l'a produite, l'opinion émise dans ce document était susceptible de soutenir la position de E______ face à H______. Au plan chronologique, il est aussi plus logique que l'intimée ait évoqué le contexte d'actualité en 2012 ou 2013 et non des faits survenus en 2006. La question de la date à laquelle l'attestation litigeuse a été rédigée n'est pas déterminante en soi, puisqu'au regard des éléments du dossier, l'intimée aurait pu vouloir viser l'appelant comme H______ aussi bien à l'automne 2012 qu'au printemps suivant. Toutefois, celle-ci affirme que le document a été établi en mai 2013 et l'appelant comme le MP y voient un mensonge, ce qui affaiblirait la crédibilité de l'intéressée. Or, le raisonnement selon lequel l'attestation aurait été rédigée en novembre ou décembre 2012, "à la suite" de celle du 16 novembre de la même année, ne convainc pas. D'une part, on ne voit pas pourquoi l'intimée aurait ressenti le besoin de réitérer, à si bref délai, la proposition d'accueillir l'enfant F______, ni pourquoi elle n'aurait pu, sept mois après, reproduire la terminologie employée dans un document émanant d'une autorité. D'autre part, et surtout, les variations entre les deux courriers tendent plutôt à indiquer qu'un certain laps de temps les sépare, durant lequel la situation a évolué. Ainsi, le 16 novembre 2012, l'intimée écrivait que E______ pourrait trouver un emploi dans un EMS en 2013, alors que dans l'attestation non datée, la prise d'emploi est reportée à l'année 2014. De même, au mois de novembre 2012, l'intimée envisageait que l'enfant puisse vivre avec sa mère au foyer de l'association, alors que dans l'attestation non datée, il est uniquement question d'un droit de visite. Cette analyse corrobore donc les explications de l'intimée et conforte sa crédibilité. En définitive, il appert que les deux thèses qui s'affrontent sont également plausibles, ce qui doit conduire, dans le respect du principe de la présomption d'innocence, a retenir celle plus favorable à la défense. Le jugement entrepris sera partant confirmé.</w:t>
      </w:r>
    </w:p>
    <w:p>
      <w:r>
        <w:rPr>
          <w:b/>
        </w:rPr>
        <w:t>E. 3</w:t>
      </w:r>
    </w:p>
    <w:p>
      <w:r>
        <w:t>3.1.1. Aux termes de l'art. 429 al. 1 let. a CPP, le prévenu acquitté totalement ou en partie ou au bénéfice d'un classement a droit à une indemnité pour les dépenses occasionnées par l'exercice raisonnable de ses droits de procédure. Toutefois, lorsque l'appel a été formé par la seule partie plaignante, on ne saurait perdre de vue le fait qu'il n'y a plus aucune intervention de l'Etat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consid.1.1 p.478 ss). L’indemnité de procédure due au prévenu par l’Etat selon l’art. 429 CPP est alors réduite à concurrence de l’indemnité mise à charge de la partie plaignante ou compensée par celle-ci (art. 430 al. 1 let. b CPP). 3.1.2. L'assistance d'un avocat de choix, sous l'angle de l'art. 429 al. 1 let. a CPP doit avoir été nécessaire, compte tenu de la complexité de l'affaire en fait ou en droit, et que le volume de travail de l'avocat était ainsi justifié (Message relatif à l'unification du droit de la procédure pénale (CPP) du 21 décembre 2005, FF 2006 1309). L'indemnité couvre en particulier les honoraires d'avocat, à condition que le recours à celui-ci procède d'un exercice raisonnable des droits de procédure (arrêts du Tribunal fédéral 6B_545/2015 du 10 février 2016 consid. 6.1 et 6B_387/2013 du 8 juillet 2013 consid. 2.1, non publié aux ATF 139 IV 241 ).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n. 19 ad art. 429). Les honoraires d'avocat se calculent selon le tarif local, à condition qu'ils restent proportionnés (N. SCHMID, Schweizerische Strafprozessordnung : Praxiskommentar , 2 ème éd., Zurich 2013, n. 7 ad art. 429). La Cour de justice applique un tarif horaire de CHF 450.- ( ACPR/112/2014 du 26 février 2014, renvoyant au tarif "usuel" de CHF 400.- ressortant de la SJ 2012 I 175 et jugé non arbitraire par le Tribunal fédéral = SJ 2014 I 426 ; ACPR/279/2014 du 27 mai 2014, ACPR/21/2014 du 13 janvier 2014) ou de CHF 400.- ( ACPR/282/2014 du 30 mai 2014), notamment si l'avocat concerné avait lui-même calculé sa prétention à ce taux-là ( ACPR/377/2013 du 13 août 2013). 3.2.1. En l'occurrence, la poursuite de la procédure nonobstant le prononcé de l'acquittement en première instance est due à la seule insistance de la partie plaignante, qui ne s'est estimée satisfaite ni dudit jugement ni des explications données par l'intimé au long de la procédure. Si, comme indiqué il était concevable que l'appelant se soit senti visé lorsqu'il a pris connaissance de l'attestation litigeuse, il disposait de suffisamment d'éléments pour se raviser, au plus tard à l'issue de la procédure de première instance. Conformément à la jurisprudence précitée, les frais de défense de la prévenue acquittée pour la procédure d'appel seront donc mis à sa charge. 3.2.2. Reste à en déterminer la quotité, eu égard au principe d'adéquation. La CPAR retiendra que la démarche consistant à demander la non-entrée en matière était superflue, tant il était évident qu'elle était vouée à l'échec. De même, il était inutile de prendre une heure pour rappeler l'évidence à la juridiction d'appel, soit qu'il fallait trancher de cette demande avant que de décider de l'éventuelle suite de la procédure. L'examen du dossier en appel, alors que le cabinet du défenseur privé de l'intimée l'avait assistée depuis le début de la procédure et était donc censé bien le connaître, ne justifie pas une activité de huit heures, même en tenant compte de ce que l'appelant a produit des nouvelles pièces. Il en sera retenu trois. De même, le temps consacré à la rédaction du mémoire de réponse à l'appel sera-t-il ramené à cinq heures, ce qui relève d'une estimation large. Ces déductions opérées, le dépenses liées à l'exercice raisonnable des droit de la défense pour la procédure d'appel s'élèvent à CHF 4'137.75 pour une heure et 45 minutes de prestations de M e C______, 10 heures de ses collaborateurs et 35 minutes de son stagiaire, au tarif facturé, plus la TVA au taux de 8% par CHF 306.50. 3.2.3. L'appelant sera partant condamné à payer la somme précitée de CHF 4'137.75 à l'intimée.</w:t>
      </w:r>
    </w:p>
    <w:p>
      <w:r>
        <w:rPr>
          <w:b/>
        </w:rPr>
        <w:t>E. 4</w:t>
      </w:r>
    </w:p>
    <w:p>
      <w:r>
        <w:t>Vu l'issue de la procédure d'appel, les frais de celle-ci, comprenant un émolument d'arrêt de CHF 2'000.- seront également mis à sa charge (art. 428 CPP et 14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