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P/12209/2011 vom 29. Januar 2014</w:t>
      </w:r>
    </w:p>
    <w:p>
      <w:r>
        <w:t>GE Cour de justice, 2014-01-29, FR</w:t>
      </w:r>
    </w:p>
    <w:p>
      <w:r>
        <w:rPr>
          <w:b/>
        </w:rPr>
        <w:t xml:space="preserve">Quelle: </w:t>
      </w:r>
      <w:r>
        <w:t>https://mcp.opencaselaw.ch/entscheid/ge_gerichte_P_12209_2011</w:t>
      </w:r>
    </w:p>
    <w:p>
      <w:r>
        <w:t>FR: GE_GERICHTE P/12209/2011 du 29 janvier 2014</w:t>
      </w:r>
    </w:p>
    <w:p>
      <w:r>
        <w:t>IT: GE_GERICHTE P/12209/2011 del 29 gennaio 2014</w:t>
      </w:r>
    </w:p>
    <w:p>
      <w:pPr>
        <w:pStyle w:val="Heading2"/>
      </w:pPr>
      <w:r>
        <w:t>Regeste</w:t>
      </w:r>
    </w:p>
    <w:p>
      <w:r>
        <w:t>DOMMAGES À LA PROPRIÉTÉ(DROIT PÉNAL); IN DUBIO PRO REO; FIXATION DE LA PEINE | CP.144.1; CP.47; CEDH.6.2</w:t>
      </w:r>
    </w:p>
    <w:p>
      <w:pPr>
        <w:pStyle w:val="Heading2"/>
      </w:pPr>
      <w:r>
        <w:t>Erwägungen</w:t>
      </w:r>
    </w:p>
    <w:p>
      <w:r>
        <w:rPr>
          <w:b/>
        </w:rPr>
        <w:t>E. 1</w:t>
      </w:r>
    </w:p>
    <w:p>
      <w:r>
        <w:t>L'appel est recevable pour avoir été interjeté et motivé selon la forme et dans les délais prescrits (art. 398 et 399 CPP ; ATF 138 IV 157 consid. 2).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En l'espèce, ainsi qu'il a été retenu dans l'ordonnance présidentielle du 6 novembre 2013, dont la Chambre de céans in corpore fait siens les considérants, il n'y a pas lieu d'interpeller KLM Royal DUTCH et EASYJET afin d'obtenir la confirmation que l'appelant a bien embarqué sur les vols aller Genève-Amsterdam le 21 juillet 2011 et retour le 25 juillet 2011, respectivement sur le vol aller Genève-Londres le 26 août 2011 à 20h52 et le vol retour le 31 août 2011 partant de Londres à 7h15. En effet, non seulement l'appelant, qui a déjà produit diverses pièces à ce sujet (pièces 1085, 1140 et annexes au courrier de Me Jean-Pierre GARBADE du 28 septembre 2012), aurait été en mesure de recueillir lui-même ces informations mais, en outre, aucun de ces voyages à l'étranger ne couvre intégralement l'une ou l'autre des périodes pénales retenues dans l'acte d'accusation. Il n'est également pas nécessaire ni utile d'entendre la locataire de la villa, AR______, ou le maître d'œuvre des travaux, soit la société AT______, soit pour elle AS______, pour connaître la date exacte à laquelle le tag litigieux a été apposé. En effet, d'une part, il n'est pas possible de retenir que c'est l'une ou l'autre de ces personnes qui a informé AQ______ de l'existence du tag litigieux, le dernier nommé ayant notamment évoqué la possibilité que ce soit l'architecte qui lui ait transmis l'information précitée. D'autre part, avec l'écoulement du temps, il apparaît exclu qu'elles puissent se rappeler à quelle date le tag en cause a été constaté, plusieurs parties plaignantes entendues en première instance n'ayant pu que confirmer les périodes mentionnées dans leur plainte . Il n'y a pas non plus lieu d'ordonner une nouvelle audition de AK______. En effet, après avoir été interrogé par la police, il a été entendu par le Ministère public en présence du prévenu et de son conseil, qui ont donc pu lui poser toutes les questions nécessaires. En outre, lors de l'audience d'instruction du 8 mai 2012, un délai au 20 mai 2012 a été imparti aux parties pour présenter d'éventuelles réquisitions de preuve. Si, dans le délai précité, le prévenu a sollicité les auditions de AR______ et de AS______, il n'a, en revanche, pas demandé à réentendre AK______, renonçant ainsi à lui poser des questions complémentaires.</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3.2</w:t>
      </w:r>
    </w:p>
    <w:p>
      <w:r>
        <w:t>Selon l'art. 144 al. 1 CP, se rend coupable de dommages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Celui qui, contre la volonté de l'ayant-droit, met de la peinture avec un pinceau ou avec un spray sur un mur, que celui-ci soit vierge ou déjà couvert de spray, réalise l'infraction de dommages à la propriété (ATF 120 IV 319 consid. 2). 3.3.1. En l'espèce, comme l'a relevé le premier juge, il existe un faisceau d'indices convergents permettant de retenir que l'appelant a réalisé les graffitis "oiseau-Aladin", "BAD"/simple, "ROZINE" et "DEVIL". Tout d'abord, la perquisition effectuée au domicile de l'appelant a permis la saisie de douze sprays et d'un feutre, objets permettant la réalisation des tags en question. Ensuite, figurent au dossier les déclarations d'AK______, également tagueur. A la police, ce témoin a affirmé que l'appelant était l'auteur de "l'oiseau-Aladin" et des "BAD" et qu'il avait notamment vu "l'oiseau-Aladin" dessiné sur la porte de sa chambre. Ces déclarations correspondent en substance aux aveux de l'appelant, qui a admis, à la police, avoir indiqué à AK______ qu'il avait sprayé les "oiseaux-Aladin" et les "BAD" dans la rue, prétendant toutefois ensuite l'avoir fait pour se rendre intéressant, ce qui n'est pas convaincant. En outre, les explications de l'appelant, faites pour la première fois en appel, selon lesquelles il possédait douze sprays pour décorer chez les particuliers sont de pure circonstance. A cela s'ajoute le fait que les "oiseaux-Aladin", retenus à la charge de l'appelant sous chiffres 1 à 7, 21, 31, 41 et 46 de l'acte d'accusation, sont similaires à ceux dessinés sur les pages A4 retrouvées dans la poubelle de sa chambre. Il en va de même des tags "BAD"/simple, "ROZINE" et "DEVIL", lesquels sont semblables à ceux faisant l'objet des chiffres 1, 9 à 12, 14 et 15, 17, 18, 20 et 24 de l'acte d'accusation. S'agissant du chiffre 1 de l'acte d'accusation, le fait que trois "oiseaux-Aladin" et un "BAD"/simple auraient pu être apposés pendant les dix derniers jours de la minorité de l'appelant n'a aucune incidence dans la mesure où le code pénal et la procédure relative aux adultes sont applicables lorsque plusieurs infractions commises avant et après l'âge de 18 ans doivent être jugées en même temps et que, comme en l'espèce, la procédure a été introduite après la connaissance d'un acte commis après l'âge de 18 ans (cf. art. 3 al. 2 de la Loi fédérale régissant la condition pénale des mineurs du 20 juin 2003 [Droit pénal des mineurs, DPMin ; RS 311.1]). En revanche, contrairement à ce qu'a retenu le premier juge, le constat et les déclarations devant la juridiction de première instance de l'appointé AM______ permettent de douter du fait que l'appelant est bien l'auteur des "BAD"/sophistiqués (chiffres 10, 13, 16, 19, 23, 25 à 28, 36, 37, 40, 44, 47 et 48 à 50 de l'acte d'accusation) et du "KIM" (correspondant au deuxième tag mentionné au chiffre 47 de l'acte d'accusation). En effet, selon le témoin, de tels tags ont été apposés entre le 29 août 2011 à 17h00 et le 30 août 2011 à 14h50 sur l'abribus de l'arrêt AJ______. Pour déterminer la date à laquelle lesdits tags ont été apposés, AM______ a pris en considération l'heure à laquelle il a quitté son service pour la dernière fois et l'heure à laquelle il a constaté les dégâts et pris une photographie. Or, il est établi, à satisfaction de droit, que l'appelant se trouvait à Londres pendant cette période de sorte qu'il ne peut être l'auteur de ces tags. Même si lesdits graffitis ne font pas partie de ceux qui lui sont reprochés, dans la mesure où une tierce personne a dessiné un tag "BAD"/sophistiqué et le tag "KIM", il existe un doute irréductible sur le fait que l'appelant soit réellement l'auteur de certains, voire de tous les autres tags "BAD"/sophistiqués ainsi que du tag "KIM" retenus à son encontre sous chiffres 10, 13, 16, 19, 23, 25 à 28, 36, 37, 40, 44, 47 et 48 à 50 de l'acte d'accusation, de sorte qu'il doit être acquitté, en application du principe in dubio pro reo s'agissant de ces faits. 3.3.2. En résumé, l'appelant sera reconnu coupable de dommages à la propriété au sens de l'art. 144 al. 1 CP en raison des tags "oiseaux-Aladin" (chiffres 1 à 7, 14 et 15, 21, 31, 41 et 46 de l'acte d'accusation), "BAD"/simple (chiffres 1, 9 à 12, 15, 17 et 24 de l'acte d'accusation) et "DEVIL" (chiffres 18 et 20 de l'acte d'accusation). L'appelant sera acquitté s'agissant des autres faits retenus dans l'acte d'accusation. Il convient donc de modifier le jugement de première instance dans ce sens.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 consid. 2.1 p. 19s ; ATF 129 IV 6 consid. 6.1 p. 20 ; arrêt du Tribunal fédéral 6B_198/2013 du 3 juin 2013 consid. 1.1). 4.2.1. La faute de l’appelant n'est pas particulièrement légère. Agissant pour un motif égoïste, il a délibérément réalisé des graffitis avec un spray sur des biens appartenant à autrui et cela pendant une période relativement longue, soit pendant douze mois. Ce faisant, il a agi au mépris de la propriété d'autrui et commis des déprédations ayant nécessité l'intervention d'entreprises tierces pour réparer les dégâts. Le jeune âge de l'appelant ne constitue pas une circonstance atténuante et ne peut être pris en compte dans le cadre ordinaire de la fixation de la peine que dans la mesure où un auteur est immature (arrêt du Tribunal fédéral 6B_198/2013 du 3 juin 2013 consid. 1.3.5), ce qui n'est pas réalisé en l'espèce. Il en va de même de l'absence d'antécédent (ATF 136 IV 1 consid. 2.6.4 p. 3). Il n'y a, par ailleurs, ni diminution de la responsabilité ni circonstances atténuantes. Enfin, l'appelant n'a pas collaboré, ayant persisté à nier les faits. 4.2.2. Le juge de première instance a condamné l'appelant à 180 jours-amende à CHF 30.- le jour en raison de trente-sept chefs d'accusation. L'appelant s'est limité à contester le jugement dans son entier, ne prenant aucune conclusion formelle sur la nature et la quotité de la peine. Au vu de ce qui précède et de l'acquittement partiel prononcé, une peine pécuniaire de 90 jours-amende à CHF 30.- l'unité apparaît adéquate et correspond à la faute de l'intéressé ainsi qu'à sa situation financière. Le jugement entrepris sera donc modifié sur ce point. Le sursis, dont les conditions sont réalisées (cf. art. 42 CP), est acquis à l'appelant en application de l’interdiction de la reformatio in pejus (art. 391 al. 2 CPP). Enfin, vu son caractère dissuasif, l'amende de CHF 500.- sera confirmée, ce d'autant qu'elle est inférieure au cinquième de la peine principale et par conséquent conforme à la pratique en la matière.</w:t>
      </w:r>
    </w:p>
    <w:p>
      <w:r>
        <w:rPr>
          <w:b/>
        </w:rPr>
        <w:t>E. 5.1</w:t>
      </w:r>
    </w:p>
    <w:p>
      <w:r>
        <w:t>Etant donné que l'appelant n'a été que partiellement acquitté, il y a lieu de confirmer la destruction des douze sprays et du marqueur figurant sous chiffre 1 de l'inventaire du 24 août 2011 ainsi que la confiscation des croquis et de la photographie du "BAD"/sophistiqué, prise par la police lors de la perquisition, pièces à conviction figurant sous chiffres 2 et 3 de l'inventaire précité, et leur apport à la procédure.</w:t>
      </w:r>
    </w:p>
    <w:p>
      <w:r>
        <w:rPr>
          <w:b/>
        </w:rPr>
        <w:t>E. 5.2</w:t>
      </w:r>
    </w:p>
    <w:p>
      <w:r>
        <w:t>Pour les mêmes motifs, il y a lieu de rejeter la demande d'indemnisation du tort moral subi en raison des deux jours de détention avant jugement (art. 429 CPP).</w:t>
      </w:r>
    </w:p>
    <w:p>
      <w:r>
        <w:rPr>
          <w:b/>
        </w:rPr>
        <w:t>E. 6</w:t>
      </w:r>
    </w:p>
    <w:p>
      <w:r>
        <w:t>6.1. A teneur de l'art. 122 al. 1 CPP, la partie plaignante peut faire valoir des conclusions civiles déduites de l'infraction par adhésion à la procédure. Le tribunal statue sur les conclusions civiles présentées lorsqu’il rend un verdict de culpabilité à l’encontre du prévenu (art. 126 al. 1 let. a CPP). Selon l’art. 41 al. 1 de la loi fédérale du 30 mars 1911 complétant le Code civil suisse (CO, Code des obligations ; RS 220), l’auteur d’un acte illicite doit réparer le dommage matériel ainsi causé.</w:t>
      </w:r>
    </w:p>
    <w:p>
      <w:r>
        <w:rPr>
          <w:b/>
        </w:rPr>
        <w:t>E. 6.2</w:t>
      </w:r>
    </w:p>
    <w:p>
      <w:r>
        <w:t>Eu égard au verdict de culpabilité rendu à son encontre, le jugement entrepris sera confirmé en tant qu'il condamne le prévenu à payer à C______, représentant le propriétaire de l'immeuble sis ______ (chiffre 4 de l'acte d'accusation), la somme de CHF 518.40 correspondant aux frais de nettoyage des graffitis "oiseaux-Aladin". En revanche, dans la mesure où l'appelant a été acquitté du chef de dommages à la propriété pour les graffitis "BAD"/sophistiqués, D______, représentant la COMMUNE DE E______, propriétaire de l'immeuble sis ______ (chiffre 36 de l'acte d'accusation) et A______, représentant le propriétaire de l'immeuble sis ______ (chiffre 48 de l'acte d'accusation), seront déboutées de leurs conclusions civiles et le jugement querellé sera modifié en ce sens.</w:t>
      </w:r>
    </w:p>
    <w:p>
      <w:r>
        <w:rPr>
          <w:b/>
        </w:rPr>
        <w:t>E. 7</w:t>
      </w:r>
    </w:p>
    <w:p>
      <w:r>
        <w:t>L’appelant, qui succombe partiellement, supportera la moitié des frais de la procédure d'appel, comprenant dans leur totalité un émolument de CHF 2'000.-, le solde étant laissé à la charge de l’Etat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