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P/12199/2018 vom 7. November 2019</w:t>
      </w:r>
    </w:p>
    <w:p>
      <w:r>
        <w:t>GE Cour de justice, 2019-11-07, FR</w:t>
      </w:r>
    </w:p>
    <w:p>
      <w:r>
        <w:rPr>
          <w:b/>
        </w:rPr>
        <w:t xml:space="preserve">Quelle: </w:t>
      </w:r>
      <w:r>
        <w:t>https://mcp.opencaselaw.ch/entscheid/ge_gerichte_P_12199_2018</w:t>
      </w:r>
    </w:p>
    <w:p>
      <w:r>
        <w:t>FR: GE_GERICHTE P/12199/2018 du 7 novembre 2019</w:t>
      </w:r>
    </w:p>
    <w:p>
      <w:r>
        <w:t>IT: GE_GERICHTE P/12199/2018 del 7 novembre 2019</w:t>
      </w:r>
    </w:p>
    <w:p>
      <w:pPr>
        <w:pStyle w:val="Heading2"/>
      </w:pPr>
      <w:r>
        <w:t>Regeste</w:t>
      </w:r>
    </w:p>
    <w:p>
      <w:r>
        <w:t>SÉQUESTRE(MESURE PROVISIONNELLE);SOUPÇON;PROPORTIONNALITÉ | CPP.263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consid. 5).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263).![endif]&gt;![if&gt;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(arrêt du Tribunal fédéral 1S.8/2006 du 12 décembre 2006 consid. 6.1). Il a aussi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1P_405/1993 du 8 novembre 1993 consid. 8). Enfin, si la saisie est susceptible de paralyser l'activité économique d'un tiers, le principe de proportionnalité commande une balance très nuancée des intérêts en présence et peut justifier la libération partielle des sommes bloquées afin de payer certains créanciers (SJ 1990 444 n. 5.1).</w:t>
      </w:r>
    </w:p>
    <w:p>
      <w:r>
        <w:rPr>
          <w:b/>
        </w:rPr>
        <w:t>E. 2.2</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autrement dit : les valeurs patrimoniales proviennent typiquement de l'infraction (arrêt du Tribunal fédéral 1B_185/2007 du 30 novembre 2007 consid. 9). C'est donc le cas lorsque l'obtention des valeurs patrimoniales en est l'un des éléments constitutifs ou constitue un avantage direct découlant de sa commission (ATF 140 IV 57 consid. 4.1.1 p. 62) et que le produit original de l'infraction peut être identifié de façon certaine et documentée (ATF 129 II 453 consid. 4.1 p. 461). Cela implique notamment que le juge doit établir qu'une infraction génératrice de profits a été commise et que des valeurs patrimoniales déterminées, résultat ou rémunération de cette infraction, ont été incorporées dans le patrimoine du défendeur. Cela présuppose que les valeurs patrimoniales mises sous séquestre équivalent au produit supposé d'une infraction. 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 Le but des dispositions sur la confiscation est d'absorber les gains illicites obtenus par l'auteur. Il va ainsi, en cas de loyers usuraires, du trop-perçu par l'usurier, même si le lésé n'a pas réclamé le rétablissement de ses droits (arrêt du Tribunal fédéral 6S_6/2007 du 19 février 2007 consid. 4). Les avantages indirects, sous la forme d'une économie de dépenses ("Ersparnisgewinnen", "Einsparungen"), sont aussi sujets à confiscation. Il suffit que l'avantage obtenu par l'infraction ait une valeur comptable; par exemple, en matière de soustraction d'impôts, la contre-valeur de la partie non versée au fisc (ATF 120 IV 365 consid. 1d p. 367) ou, en droit de l'environnement, la contre-valeur des taxes d'élimination éludées (ATF 119 IV 10 consid. 4c p. 16). Par les mots "résultat d'une infraction" ("durch eine Straftat erlangt"), la loi vise donc tout avantage patrimonial, obtenu de droit ou de fait, directement ou indirectement, par le comportement délictueux (ATF 137 IV 305 consid. 3.1. p. 307). Si l'économie réalisée ne provient pas directement de l'acte délictueux, la confiscation reste possible au titre de la créance compensatrice (arrêt du Tribunal fédéral 1S.5/2005 du 26 septembre 2005 consid. 7.3). Le séquestre ne peut donc être levé (art. 267 CPP) que dans l'hypothèse où il est d'emblée manifeste et indubitable que les conditions matérielles d'une confiscation ne sont pas réalisées, et ne pourront l'être (ATF 140 IV 133 consid. 4.2.1 p. 138; ATF 139 IV 250 consid. 2.1 p. 252 s.).</w:t>
      </w:r>
    </w:p>
    <w:p>
      <w:r>
        <w:rPr>
          <w:b/>
        </w:rPr>
        <w:t>E. 2.3</w:t>
      </w:r>
    </w:p>
    <w:p>
      <w:r>
        <w:t>Selon l'art. 305bis ch. 1 CP (dans sa teneur en vigueur depuis le 1er janvier 2016),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L'al. 1bis précise que sont considérées comme un délit fiscal qualifié, les infractions mentionnées à l'art. 186 de la loi fédérale sur l'impôt fédéral direct (LIFD) et à l'art. 59 al. 1 1er par. de la loi fédérale sur l'harmonisation des impôts directs des cantons et des communes (LHID), lorsque les impôts soustraits par période fiscale se montent à plus de 300 000 francs. L'art. 305bis ch. 2 CP concerne le cas grave soit,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 L'art. 186 LIFD concerne celui qui, dans le but de commettre une soustraction d'impôt au sens des art. 175 à 177, fait usage de titres faux, falsifiés ou inexacts quant à leur contenu, tels que des livres comptables, des bilans, des comptes de résultat ou des certificats de salaire et autres attestations de tiers dans le dessein de tromper l'autorité fiscale. L'art. 59 al. 1, 1er par. LHID vise le cas de celui qui, dans le but de commettre une soustraction d'impôt, fait usage de titres faux, falsifiés ou inexacts quant à leur contenu. 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2.4</w:t>
      </w:r>
    </w:p>
    <w:p>
      <w:r>
        <w:t>Le recourant ne s'exprime pas sur les faits qui lui sont reprochés et a fortiori n'émet aucune critique sur les soupçons justifiant les séquestres. En l'état de la procédure, la police a mis en évidence des différences de plus de CHF 1 million entre les chiffres d'affaires présumés de A______ et ceux annoncés (documents comptables ainsi présumés inexacts) aux impôts en 2016 et 2017 ainsi qu'une augmentation de sa fortune brute de CHF 925'894 en 2017 pour des revenus bruts de CHF 155'268.-. Sa comptabilité apparaît lacunaire et inexacte, ce que l'intéressé admet sur certains points. Le Ministère public estime la soustraction d'impôts à plus de CHF 300'000.- par période fiscale. Les soupçons d'une infraction à l'art. 305bis al. 1bis CP sont dès lors, à ce stade de la procédure, suffisants. Le recourant ne donne aucun élément permettant d'analyser la situation différemment. Les comptes étant directement alimentés par l'activité liée à l'encaissement des commissions et de la location des chambres, leur séquestre, ne fut-ce qu'en vue d'une éventuelle confiscation, apparaît justifié. La liberté économique du recourant n'apparaît en outre pas atteinte, seuls certains comptes étant séquestrés à une date donnée, de sorte que ses activités rémunératrices ne sont pas bloquées. Vu le préjudice résultant des infractions reprochées, les séquestres ordonnés respectent, à ce stade, le principe de la proportionnalité.</w:t>
      </w:r>
    </w:p>
    <w:p>
      <w:r>
        <w:rPr>
          <w:b/>
        </w:rPr>
        <w:t>E. 3</w:t>
      </w:r>
    </w:p>
    <w:p>
      <w:r>
        <w:t>Le recours s'avère ainsi infondé et doit être rejeté.</w:t>
      </w:r>
    </w:p>
    <w:p>
      <w:r>
        <w:rPr>
          <w:b/>
        </w:rPr>
        <w:t>E. 4</w:t>
      </w:r>
    </w:p>
    <w:p>
      <w:r>
        <w:t>Le recourant, qui succombe, supportera les frais envers l'État, qui comprendront un émolument de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