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P/12191/2012 vom 29. Mai 2015</w:t>
      </w:r>
    </w:p>
    <w:p>
      <w:r>
        <w:t>GE Cour de justice, 2015-05-29, FR</w:t>
      </w:r>
    </w:p>
    <w:p>
      <w:r>
        <w:rPr>
          <w:b/>
        </w:rPr>
        <w:t xml:space="preserve">Quelle: </w:t>
      </w:r>
      <w:r>
        <w:t>https://mcp.opencaselaw.ch/entscheid/ge_gerichte_P_12191_2012</w:t>
      </w:r>
    </w:p>
    <w:p>
      <w:r>
        <w:t>FR: GE_GERICHTE P/12191/2012 du 29 mai 2015</w:t>
      </w:r>
    </w:p>
    <w:p>
      <w:r>
        <w:t>IT: GE_GERICHTE P/12191/2012 del 29 maggio 2015</w:t>
      </w:r>
    </w:p>
    <w:p>
      <w:pPr>
        <w:pStyle w:val="Heading2"/>
      </w:pPr>
      <w:r>
        <w:t>Regeste</w:t>
      </w:r>
    </w:p>
    <w:p>
      <w:r>
        <w:t>SURSIS À L'EXÉCUTION DE LA PEINE; FIXATION DE LA PEINE | CP.19.2; CP.42.1; CP.43; CP.47; CP.49.1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2.1.2. Le législateur reprend, à l'art. 47 al. 1 CP,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2.1.3.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duu 22 octobre 2008 consid. 3.2 et 6B_646/2008 du 23 avril 2009 consid. 4.3.2 et les références citées). 2.1.4.1.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 d'héroïne sera en principe moins sévèrement puni que celui qui vend cent grammes à dix reprises. En l'absence d'analyse de la drogue saisie et faute d'autres éléments, le juge peut admettre sans arbitraire que la drogue était d'une qualité moyenne et se référer au degré de pureté habituel sur le marché à l'époque et au lieu en question (B. CORBOZ, Les infractions en droit suisse , Berne 2010, vol. II, n. 86 p. 918), taux qui était en 2009 et 2010 de l'ordre de 20% à Genève pour la vente au détail de la cocaïne. 2.1.4.2.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2.1.4.3. 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w:t>
      </w:r>
    </w:p>
    <w:p>
      <w:r>
        <w:rPr>
          <w:b/>
        </w:rPr>
        <w:t>E. 2.2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2.3</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Une personne présentant un taux d’alcoolémie dans le sang de 3 gr. o/oo et plus doit être considérée comme totalement irresponsable. Entre 2 et 3 gr. o/oo, sa responsabilité sera en règle générale diminuée, alors qu'en dessous de 2 gr. o/oo, on admettra en principe une responsabilité pleine et entière. Il ne s'agit cependant que d'une présomption, par ailleurs réfragrable, qui peut être renversée en raison d'indices contraires (ATF 122 IV 49 consid. 1b p. 50 ; ATF 119 IV 120 consid. 2b p. 123 ; ATF 117 IV 292 consid. 2d p. 296 ; arrêt du Tribunal fédéral 6B_960/2009 du 30 mars 2010 consid. 1.2). 2.4.1. Seules les peines de six mois à deux ans peuvent être assorties du sursis total (cf. art. 42 al. 1 CP).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p. 198 ss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 consid. 4.2.1 p. 5 ; arrêt du Tribunal fédéral 6B_1044/2013 du 4 mars 2014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 Le pronostic doit être posé selon les mêmes critères que sous l'ancien droit. 2.4.2.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 2 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 Des antécédents relatifs à d'autres types de délits ne sont pas sans pertinence pour l'établissement du pronostic en vue de l'octroi ou du refus du sursis (arrêt du Tribunal fédéral 6B_1045/2008 du 20 mars 2009 consid. 4.4 ; ATF 100 IV 133 , consid. 1d, p. 137 ; ATF 98 IV 76 consid. 2, p. 82 ; v. également R. SCHNEIDER / R. GARRÉ, op. cit. , n. 59 ad art. 42). 2.4.3. Lorsque la durée de la peine privative de liberté se situe, comme en l'espèce, entre un et deux ans, permettant donc le choix entre le sursis complet (art. 42 CP) et le sursis partiel (art. 43 CP), l'octroi du sursis au sens de l'art. 42 est la règle et le sursis partiel l'exception. Celui-ci ne doit être prononcé que si, sous l'angle de la prévention spéciale, l'octroi du sursis pour une partie de la peine ne peut se concevoir que moyennant exécution de l'autre partie (arrêts du Tribunal fédéral 6B_1044/2013 du 4 mars 2014 consid. 3.1 et 6B_664/2007 du 18 janvier 2008 consid.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p. 10 ; arrêt du Tribunal fédéral 6B_1044/2013 précité). 2.4.4.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Le rapport entre la partie ferme et avec sursis de la peine doit être fixé de telle manière que la probabilité d'un comportement futur de l'auteur conforme à la loi, mais aussi sa culpabilité, soient équitablement prises en compte. Le juge dispose à ce propos d'un large pouvoir d'appréciation (cf. ATF 134 IV 1 consid. 5.6 p. 15). 2.5.1. Les infractions de lésions corporelles simples (art. 123 CP), dommages à la propriété (art. 144 CP), menaces (art. 180 CP), l'infraction à l'art. 33 al. 1 let. a LArm, et celles énoncées à l'art. 19 ch. 1 aLStup, sont passibles d'une privative de liberté de trois ans au plus ou d’une peine pécuniaire. S'agissant de cette dernière disposition, dans les cas graves (ch. 2), comme en l'espèce, une peine minimum d'une durée de un an est prévue. L'infraction d'injure (art. 177 CP) est réprimée par une peine pécuniaire de 90 jours-amende au plus, celle à l'art. 19a al. 1 aLStup de l'amende. 2.5.2. La faute de l'appelant est importante. Il s'en est pris gratuitement à l'intégrité corporelle de deux personnes, dont aucune ne constituait une menace pour lui, bien au contraire. En effet, il a sprayé la première – un passant inconnu – au visage parce qu'elle était intervenue, de manière totalement pacifique, pour faire cesser une bagarre à laquelle il participait. Il a frappé plusieurs fois et en deux assauts la seconde – un automobiliste alors âgé de presque 68 ans – qui avait pourtant évité une collision avec lui. Il n'a pas hésité à forcer la portière de son véhicule pour lui asséner des coups alors qu'il était assis sur le siège conducteur et qu'il n'opposait aucune défense, le privant par conséquent de sa liberté. L'appelant a, en sus, proféré des insultes et menaces à son encontre et s'en est également pris à son véhicule. Les mobiles de l'appelant sont probablement inexistants ou, à tout le moins, futiles, ce dernier ayant agi par excès de colère et de rage totalement infondé et disproportionné, témoignant d'un manque absolu de contrôle sur lui-même. S'agissant du trafic de stupéfiants, il a mis en danger de nombreux toxicomanes en leur vendant de la cocaïne, plusieurs fois par semaine, en tout cas durant un an, soit environ 200 grammes à un taux de pureté par hypothèse de 20%, ainsi que 30 pilules d'ecstasy à une reprise. L'appelant ne jouait toutefois pas un rôle majeur dans le trafic de cocaïne – de faible envergure, soit local –, étant uniquement un consommateur-revendeur. Ses mobiles sont égoïstes, dès lors qu'il a agi par appât d'un gain facile, étant toutefois rappelé qu'il était consommateur. C'est son arrestation, et non une décision de sa part, qui a mis un terme à son trafic. La collaboration de l'appelant, si elle est contrastée, doit être qualifiée de bonne dans l'ensemble. Il a, pour les trois complexes de faits qui lui sont reprochés, rapidement collaboré à leur établissement, assumant une grande partie de ses actes, dans la mesure où il s'en souvenait. Cela étant, s'agissant du trafic de stupéfiants, il est revenu sur ses déclarations au bénéfice d'explications peu plausibles. En sus, l'appelant ne semble pas avoir effectué de réelle introspection personnelle, aux fins notamment de mesurer l'effet de sa consommation d'alcool sur son comportement, lequel peut devenir d'une grande violence. Il démontre ainsi une prise de conscience partielle de la gravité de ses actes, même s'il a présenté ses excuses à l'une des victimes. La situation personnelle de l'appelant, bien que délicate en raison des différentes substances et alcools dont il était vraisemblablement dépendant, mais aussi du fait de l'absence d'opportunités professionnelles, ne saurait excuser ses agissements. Assisté par l'Hospice général, même en l'absence de travail, il n'était pas démuni de tout moyen d'existence, de sorte que les bénéfices retirés de son trafic étaient vraisemblablement affectés à sa propre consommation, ou dépensés à des occasions festives. Seule un très légère diminution de la responsabilité sera retenue s'agissant des faits des 17 mai et 1 er septembre 2012, pour les raisons indiquées dans le jugement querellé, étant précisé que l'appelant ne les conteste pas. Sa responsabilité était pleine et entière pour les autres faits. Il n'y a pas de circonstances atténuantes, notamment au sens de l'art. 48 let. c et d CP. L'appelant a des antécédents, dont un spécifique en matière de lésions corporelles simples, relativement ancien, et un autre en matière d'infractions liées à sa consommation d'alcool en 2011. Il y a concours d'infractions, à l'exclusion de celle d'injure et d'infraction à l'art. 19a al. 1 aLStup. Comme facteur atténuant, la violation du principe de célérité doit être prise en compte pour les faits de 2009, comme retenu par le premier juge. Au regard de l'ensemble de ces circonstances, la peine privative de liberté de 18 mois, partiellement complémentaire à celles prononcées par le Ministère public le 31 mai 2011, est adéquate. On précisera que dans la mesure où l'appelant ne conteste pas le verdict de culpabilité, lequel porte notamment sur des infractions à l'art. 19 ch. 2 let. a aLStup, seule une peine privative de liberté de minimum un an peut être infligée, ce qui exclut de jure sa première conclusion. 2.5.3. Une précédente condamnation assortie du sursis, qui a par la suite été révoqué, n'a pas dissuadé l’appelant de persévérer dans des comportements répréhensibles. Cet antécédent est cependant ancien, tout comme l'infraction la plus grave à laquelle il a été condamné dans la présente procédure. L'appelant n'a, en outre, pas commis d'autres infractions depuis 2012 et sa situation semble s'être stabilisée. Même si cette stabilité est fragile, faute notamment de démarches entreprises pour assurer son avenir économique, elle constitue néanmoins un élément favorable supplémentaire. Le sevrage aux stupéfiants et la diminution de la consommation d'alcool doivent également être qualifiés de la sorte, mais avec pondération, dans la mesure où l'appelant ne les a pas démontrés et n'a entamé aucun suivi pour assurer leur pérennité. Le pronostic d'avenir n'est donc pas concrètement défavorable, compte tenu aussi de la règle de conduite prévue par le premier juge et non contestée. L'octroi du sursis total peut encore être envisagé, étant rappelé qu'il est règle et le sursis partiel l'exception. La durée du délai d'épreuve sera fixée à quatre ans, comme retenu en première instance, laquelle est adéquate et tient compte des éléments de la procédure. La peine pécuniaire de 20 jours-amende à CHF 30.- l'unité, l'amende de CHF 200.-, ainsi que la peine privative de liberté de substitution de deux jours, pour les infractions aux art. 177 CP et 19a al. 1 aLStup seront maintenues, n'ayant été contestées ni dans leur principe ni dans leur quotité. L'assistance de probation et la règle de conduite, qui ne sont pas contestées, sont justifiées et opportunes vu la situation de l'appelant. Au vu de l'ensemble des éléments qui précèdent, le jugement sera réformé s'agissant du type de sursis octroyé, et confirmé pour le surplus.</w:t>
      </w:r>
    </w:p>
    <w:p>
      <w:r>
        <w:rPr>
          <w:b/>
        </w:rPr>
        <w:t>E. 3.1</w:t>
      </w:r>
    </w:p>
    <w:p>
      <w:r>
        <w:t>L'appelant, qui n'obtient que partiellement gain de cause, supportera le quart des frais de la procédure d'appel (art. 428 CPP), lesquels comprendront un émolument de CHF 1'500.- (art. 14 al. 1 let. e du Règlement fixant le tarif des frais en matière pénale, du 22 décembre 2010 [RTFMP; E 4 10.03]). Le solde des frais sera laissé à la charge de l'Etat.</w:t>
      </w:r>
    </w:p>
    <w:p>
      <w:r>
        <w:rPr>
          <w:b/>
        </w:rPr>
        <w:t>E. 3.2</w:t>
      </w:r>
    </w:p>
    <w:p>
      <w:r>
        <w:t>Dans la mesure où l'appel a conduit à la reformation d'une partie du jugement entrepris, celui-ci sera également modifié en ce sens que l'émolument complémentaire de jugement de CHF 600.- doit être laissé à la charge de l'Etat.</w:t>
      </w:r>
    </w:p>
    <w:p>
      <w:r>
        <w:rPr>
          <w:b/>
        </w:rPr>
        <w:t>E. 4</w:t>
      </w:r>
    </w:p>
    <w:p>
      <w:r>
        <w:t>4.1.1.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4.1.2.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Ces derniers mois, la CPAR s'est inspirée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4.2.1. De la note de frais de M e B______, l'activité suivante ne sera pas retenue : - 12 heures et 30 minutes effectuées par le chef d'étude ou la stagiaire et affectées à la préparation de l'audience d'appel et à des recherches jurisprudentielles, dans la mesure où quatre heures étaient suffisantes, vu l'objet de l'appel et la bonne connaissance du dossier, M e B______ ayant été nommé pendant la procédure d'instruction. Les recherches juridiques ne sont pas indemnisées car elles relèvent de la formation continue de l'avocat breveté ; - 15 minutes effectuées par le chef d'étude et affectées à la lecture d'un acte de procédure, cette activité étant incluse dans le forfait de 10% ; - cinq heures et 25 minutes (estimation) effectuées par le chef d'étude ou la stagiaire et affectées à l'assistance à l'audience d'appel, celle-ci n'ayant duré que 35 minutes et n'exigeant la présence que d'un conseil, soit la stagiaire qui a plaidé. L'activité exercée par le défenseur d’office de l'appelant dans le cadre de la présente procédure est au surplus en adéquation avec la nature, l'importance et la difficulté de la cause. Par conséquent, l'état de frais, après les réductions qui précèdent, sera admis à concurrence de quatre heures et 35 minutes d'activité, dont deux heures effectuées par le chef d'étude, le reste par sa stagiaire, ce qui correspond à une indemnité de base de CHF 567.90 (arrondi). Il convient d'ajouter à ce montant l'indemnisation forfaitaire de 10% (vu le nombre d'heures indemnisé en première instance et en appel qui est supérieur à 30), soit CHF 56.80 (arrondi), ainsi que la TVA à hauteur de CHF 50.- (arrondi).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