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P/12161/2024 vom 19. Mai 2024</w:t>
      </w:r>
    </w:p>
    <w:p>
      <w:r>
        <w:t>GE Cour de justice, 2024-05-19, FR</w:t>
      </w:r>
    </w:p>
    <w:p>
      <w:r>
        <w:rPr>
          <w:b/>
        </w:rPr>
        <w:t xml:space="preserve">Quelle: </w:t>
      </w:r>
      <w:r>
        <w:t>https://mcp.opencaselaw.ch/entscheid/ge_gerichte_P_12161_2024</w:t>
      </w:r>
    </w:p>
    <w:p>
      <w:r>
        <w:t>FR: GE_GERICHTE P/12161/2024 du 19 mai 2024</w:t>
      </w:r>
    </w:p>
    <w:p>
      <w:r>
        <w:t>IT: GE_GERICHTE P/12161/2024 del 19 maggio 2024</w:t>
      </w:r>
    </w:p>
    <w:p>
      <w:pPr>
        <w:pStyle w:val="Heading2"/>
      </w:pPr>
      <w:r>
        <w:t>Regeste</w:t>
      </w:r>
    </w:p>
    <w:p>
      <w:r>
        <w:t>DÉTENTION PROVISOIRE;RISQUE DE COLLUSION;RISQUE DE FUITE | CPP.221.al1.leta; CPP.221.al1.letb; CP.187; CP.188; CP.190; CP.196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sollicite l'apport au dossier des renseignements de police et du casier judiciaire de l'une des plaignantes. Ceci n'est toutefois pas l'objet du litige qui est circonscrit à l'ordonnance de mise en détention provisoire du TMC. Cette conclusion est irrecevable.</w:t>
      </w:r>
    </w:p>
    <w:p>
      <w:r>
        <w:rPr>
          <w:b/>
        </w:rPr>
        <w:t>E. 3</w:t>
      </w:r>
    </w:p>
    <w:p>
      <w:r>
        <w:t>Le recourant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 recourant est prévenu d'actes d'ordre sexuel avec des enfants (art. 187 CP), d'actes d'ordre sexuel avec des personnes dépendantes (art. 188 CP), de viol (art. 190 CP) et de tentative d'actes d'ordre sexuel avec des mineurs contre rémunération (art. 196 CP) en lien avec des agissements commis sur ses deux belles-filles durant leur adolescence. Les déclarations cohérentes des deux plaignantes paraissent en l'état crédibles, même si le recourant conteste en bloc sa mise en cause. Partant, il existe à ce stade des soupçons suffisants de la commission de ces infractions. S'agissant notamment de crimes (art. 10 al. 2 CP), la première condition visée à l'art. 221 al. 1 CP est réalisée.</w:t>
      </w:r>
    </w:p>
    <w:p>
      <w:r>
        <w:rPr>
          <w:b/>
        </w:rPr>
        <w:t>E. 4</w:t>
      </w:r>
    </w:p>
    <w:p>
      <w:r>
        <w:t>Le recourant conteste l'existence d'un risque de collusion et propose, s'il devait être retenu, des mesures de substitution à la détention provisoire.</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4.3</w:t>
      </w:r>
    </w:p>
    <w:p>
      <w:r>
        <w:t>Une interdiction d'approcher peut dans certains cas suffire à prévenir le risque de collusion. Tel est notamment le cas lorsque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w:t>
      </w:r>
    </w:p>
    <w:p>
      <w:r>
        <w:rPr>
          <w:b/>
        </w:rPr>
        <w:t>E. 4.4</w:t>
      </w:r>
    </w:p>
    <w:p>
      <w:r>
        <w:t>L'interdiction d'entrer en contact au sens de l'art. 237 al. 2 let. g CPP ne peut en principe porter que sur des personnes déterminées (arrêts 1B_485/2019 du 12 novembre 2019 consid. 3.4.2; 1B_121/2019 du 8 avril 2019 consid. 4.4).</w:t>
      </w:r>
    </w:p>
    <w:p>
      <w:r>
        <w:rPr>
          <w:b/>
        </w:rPr>
        <w:t>E. 4.5</w:t>
      </w:r>
    </w:p>
    <w:p>
      <w:r>
        <w:t>En l'espèce, le TMC a retenu un risque de collusion à l'égard des deux parties plaignantes et de l'entourage familial. Un tel risque de collusion est très élevé, en particulier à cette phase de l'instruction qui ne fait que débuter. Avant son arrestation, le recourant vivait notamment avec E______ et son épouse, mère des deux plaignantes. Or, le recourant conteste les faits et a exprimé longuement tout le mal qu'il pensait de sa belle-fille D______ et de l'influence que celle-ci aurait sur sa sœur E______, d'où leurs mensonges à son sujet. Dans ce contexte, le risque est très grand que, libéré, le recourant ne reprenne contact avec les deux plaignantes et leur entourage et ne cherche à modifier leurs souvenirs. Or, il est probable que les deux plaignantes soient entendues devant le Ministère public, D______ étant âgée de 28 ans et E______ de bientôt 18 ans, de même que leur mère. Il n'est de plus pas exclu que les deux filles mineures du recourant le soient également selon le protocole NICHD. En l'occurrence, la mesure de substitution proposée par le recourant, sous la forme d'une interdiction d'entrer en contact avec les parties plaignantes et toutes autres personnes concernées par la présente procédure, est insuffisante au regard de la nature et de l'intensité du risque de collusion constaté. Une telle mesure paraît en outre particulièrement difficile à contrôler, compte tenu du nombre des personnes potentiellement concernées, et ne permet pas, en l'état, de pallier le risque d'atteinte à la recherche de la vérité.</w:t>
      </w:r>
    </w:p>
    <w:p>
      <w:r>
        <w:rPr>
          <w:b/>
        </w:rPr>
        <w:t>E. 5</w:t>
      </w:r>
    </w:p>
    <w:p>
      <w:r>
        <w:t>Le recourant conteste tout risque de fuite et propose, s'il devait être retenu, le versement d'une caution de CHF 10'000.- " ou plus " et de ses documents d'identité.</w:t>
      </w:r>
    </w:p>
    <w:p>
      <w:r>
        <w:rPr>
          <w:b/>
        </w:rPr>
        <w:t>E. 5.1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5.2</w:t>
      </w:r>
    </w:p>
    <w:p>
      <w:r>
        <w:t>À teneur de l'art. 238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w:t>
      </w:r>
    </w:p>
    <w:p>
      <w:r>
        <w:rPr>
          <w:b/>
        </w:rPr>
        <w:t>E. 5.3</w:t>
      </w:r>
    </w:p>
    <w:p>
      <w:r>
        <w:t>En l'espèce, le recourant est de nationalité colombienne et titulaire d'un permis C. Il a vécu en Colombie jusqu'à ses 33 ans. Son fils âgé de 26 ans et son ex-épouse, avec laquelle il est en contact régulier, vivent en Colombie. Il y conserve donc des attaches. Ainsi et quand bien même son épouse et ses deux filles biologiques vivent en Suisse et où il y exerce un emploi d'" homme à tout faire ", un départ en Colombie n'est pas totalement exclu au vu de la peine-menace et de la peine concrètement encourue. Le versement d'une caution de CHF 10'000.- " ou plus ", la saisie de son passeport ainsi que de son permis d'établissement et une assignation à résidence chez son employeuse n'apparaissent pas suffisants pour pallier efficacement le risque qu'il se soustraie à la justice. C'est donc à bon droit que le TMC a retenu un risque de fuite et qu'aucune mesure de substitution, notamment celles proposées par le recourant, n'était apte à le pallier.</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de ce premier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