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P/12099/2011 vom 11. Juni 2014</w:t>
      </w:r>
    </w:p>
    <w:p>
      <w:r>
        <w:t>GE Cour de justice, 2014-06-11, FR</w:t>
      </w:r>
    </w:p>
    <w:p>
      <w:r>
        <w:rPr>
          <w:b/>
        </w:rPr>
        <w:t xml:space="preserve">Quelle: </w:t>
      </w:r>
      <w:r>
        <w:t>https://mcp.opencaselaw.ch/entscheid/ge_gerichte_P_12099_2011</w:t>
      </w:r>
    </w:p>
    <w:p>
      <w:r>
        <w:t>FR: GE_GERICHTE P/12099/2011 du 11 juin 2014</w:t>
      </w:r>
    </w:p>
    <w:p>
      <w:r>
        <w:t>IT: GE_GERICHTE P/12099/2011 del 11 giugno 2014</w:t>
      </w:r>
    </w:p>
    <w:p>
      <w:pPr>
        <w:pStyle w:val="Heading2"/>
      </w:pPr>
      <w:r>
        <w:t>Regeste</w:t>
      </w:r>
    </w:p>
    <w:p>
      <w:r>
        <w:t>INFRACTIONS CONTRE LA VIE ET L'INTÉGRITÉ CORPORELLE; LÉSION CORPORELLE; LÉSION CORPORELLE SIMPLE; VOIES DE FAIT; INFRACTIONS CONTRE L'HONNEUR; INJURE; MENACE(DROIT PÉNAL); INFRACTIONS CONTRE L'INTÉGRITÉ SEXUELLE; CONTRAINTE SEXUELLE; ENLÈVEMENT(INFRACTION) | CP.123; CP.126; CP.180; CP.183; CP.189; CP.177; CP.63</w:t>
      </w:r>
    </w:p>
    <w:p>
      <w:pPr>
        <w:pStyle w:val="Heading2"/>
      </w:pPr>
      <w:r>
        <w:t>Erwägungen</w:t>
      </w:r>
    </w:p>
    <w:p>
      <w:r>
        <w:rPr>
          <w:b/>
        </w:rPr>
        <w:t>E. 3</w:t>
      </w:r>
    </w:p>
    <w:p>
      <w:r>
        <w:t>En l’espèce, la faute du prévenu est lourde. Par ses actes, il s’en est pris non seulement à l’intégrité physique et psychique de la partie plaignante, mais a également porté atteinte à sa libre détermination en matière sexuelle et à sa liberté de mouvement, intérêts auxquels le législateur accorde une grande importance. Les violences physiques et pressions psychiques, de même que les actes d’ordre sexuel imposés par la contrainte et ceux de séquestration, se sont déroulés sur plusieurs mois, à réitérées reprises, le comportement de l’auteur s’aggravant progressivement. L’appelant A______ a instauré au sein du couple un climat de terreur à l’encontre de la partie plaignante, ayant pour effet de la soumettre à sa volonté et de la contrôler. Néanmoins, l’appelant A______ persiste à nier les faits en dépit des éléments figurant au dossier, dont sa lettre d’excuses à la partie plaignante, demandant leur réconciliation. La responsabilité faiblement restreinte du prévenu, reconnue sur expertise, sera prise en compte comme facteur d’atténuation de la peine. Il y a concours d'infractions. L’absence d’antécédents judicaires est en principe un facteur neutre dans la fixation de la peine (ATF 136 IV 1 ). Vu le verdict aggravé et les considérations qui précèdent, le jugement entrepris sera réformé quant à la quotité et aux modalités de fixation de la peine privative de liberté. L’intimé A______ sera condamné à une peine privative de liberté de trois ans. L’amende de CHF 1'000.- infligée par le premier juges, de même que la peine privative de liberté de substitution de 10 jours, seront confirmées, dans la mesure où elles sont adaptées à la répétition des actes et à la situation financière du condamné. 4) 4.1.1. Dans le cas des peines privatives de liberté qui excèdent la limite fixée pour l'octroi du sursis (soit entre deux et trois ans), l'art. 43 CP s'applique de manière autonome. En effet, exclu dans ces cas (art. 42 al. 1 CP),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(ATF 134 IV 1 , consid. 5.5.1 p. 14). Un pronostic défavorable exclut également le sursis partiel (cf. ATF 134 IV 1 , consid. 5.3.1).![endif]&gt;![if&gt;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 Le rapport entre la partie ferme et avec sursis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Le juge dispose à ce propos d'un large pouvoir d'appréciation (cf. ATF 134 IV 1 , consid. 5.6). 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6B_16/2009 du 14 avril 2009 consid. 2 ; R. SCHNEIDER / R. GARRÉ, Basler Kommentar, Strafrecht I, 2e éd., 2007, n. 4 ad art. 44 et les références citées). 4.1.2.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en outre que l'atteinte aux droits de la personnalité qui en résulte pour l'auteur ne soit pas disproportionnée au regard de la vraisemblance qu'il commette de nouvelles infractions et de leur gravité (art. 56 al. 2 CP ; ATF 134 IV 121 consid. 3.4.4 p. 131). Pour ordonner une des mesures prévues aux art. 59 à 61, 63 et 64 CP ou en cas de changement de sanction au sens de l'art. 65 CP,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 En vertu de l'art. 63 al. 1 CP, lorsque l'auteur souffre d'un grave trouble mental, qu'il est toxicodépendant ou qu'il souffre d'une autre addiction, le juge peut ordonner un traitement ambulatoire si, d'une part, l'acte punissable – crime, délit ou contravention (art. 104 CP et 105 al. 3 CP a contrario) – est lié à ce trouble mental ou à cette addiction et si, d'autre part, il est à prévoir que le traitement détournera l'auteur d'autres infractions en relation avec son état. Cette mesure doit être ordonnée lorsqu'une peine ne peut écarter à elle seule le danger que l'auteur commette d'autres infractions en relation avec son état (cf. art. 56 al. 1 let. a CP), mais sans qu'il soit pour autant nécessaire de prévoir une mesure thérapeutique institutionnelle (cf. art. 56a al. 1 CP). La référence à la gravité du trouble mental ne correspond pas à une description quantitative du dérangement psychique, mais signifie uniquement que le trouble mental doit être significatif sur le plan psychiatrique comme sur le plan juridique (ATF 6B_77/2012 du 18 juin 2012, c. 2.1.1 et les références citées). Selon l'art. 63 al. 2 CP,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(arrêt 6B_807/2010 du 7 juillet 2011 consid. 4.1; 6B_717/2010 du 13 décembre 2010 consid. 3.2; 6B_141/2009 du 24 septembre 2009 consid. 4).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(ATF 129 IV 161 consid. 4.3 p. 165; arrêt 6B_107/2011 du 23 mai 2011 consid. 5.2; 6B_581/2009 du 15 décembre 2009 consid. 3.2).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p. 163; arrêt 6B_947/2009 du 6 janvier 2010 consid. 3.3). Pour se prononcer sur la suspension de l'exécution d'une peine privative de liberté ferme, le juge doit se fonder sur une expertise psychiatrique (art. 56 al. 3 let. c CP en relation avec l'art. 63 CP; arrêt 6B_581/2009 du 15 décembre 2009 consid. 3.3;ATF 6B_335/2012 du 18 août 2012). Le traitement ambulatoire ne peut en règle générale excéder cinq ans (art. 63 al. 4). 4.1.3. Dans l'ATF 135 IV 180 du 18 juin 2009 (consid. 2.3., y compris les références citées), le Tribunal fédéral a relevé que sous l'empire des anciennes dispositions générales du Code pénal, il était de jurisprudence constante que l'octroi du sursis (ancien art. 41 CP) n'entrait pas en considération si une mesure de sûreté était ordonnée en application des anciens art. 43 ou 44 CP. Comme le prononcé d'une mesure supposait nécessairement l'existence d'un risque de récidive, il était en effet impossible d'appliquer ces dispositions tout en posant un pronostic favorable permettant l'octroi du sursis. Selon le Tribunal fédéral, il n'en va pas différemment en application du nouveau droit. Conformément à l'art. 59 al. 1 let. b CP (qui reprend le principe exprimé par l'art. 56 al. 1 let. a CP), une mesure thérapeutique institutionnelle ne peut être ordonnée qu'à la condition qu'il soit à prévoir que cette mesure détournera l'auteur de nouvelles infractions en relation avec ce trouble. Il s'ensuit que le prononcé d'une telle mesure, qui suppose un risque de récidive, implique nécessairement un pronostic négatif. 4.2.1. En l'espèce, le pronostic quant au comportement futur du prévenu n’est pas défavorable, à tout le moins dans la mesure où un traitement sera ordonné ( infra consid. 4.2.2.). Il n’a plus entretenu de contacts avec la partie plaignante depuis leur séparation et s’est marié au mois de mars 2012, une procédure de regroupement familial étant en cours pour permettre à son épouse d’origine ______ de le rejoindre en Suisse. Le déroulement des faits reprochés s’inscrit dans des circonstances particulières vécues par le couple qu’il formait avec la partie plaignante à un moment donné de leur relation. L’intimé A______ a également retrouvé une certaine indépendance financière, de sorte qu’il ne dépend plus de sa compagne pour subvenir à ses besoins ou l’entretenir. Il s’ensuit que les éléments ayant pu déclencher ou favoriser le trouble dont il souffre apparaissent désormais réduits, voire inexistants, ce qui permet d’atténuer le risque de récidive. Cela étant, il n’apparaît pas que le prévenu ait effectivement vécu à nouveau en ménage depuis sa séparation d’avec la partie plaignante et bien qu’il se soit marié depuis. Le risque de récidive ne peut donc être concrètement totalement écarté. Ces éléments justifient ainsi le prononcé d'un sursis partiel, la partie ferme de la peine constituant un avertissement marqué, autorisant un pronostic largement plus favorable pour l'avenir (ATF 134 IV 1 consid. 5.5.2 p. 14 s.). La peine privative de liberté de trois ans sera en conséquence assortie du sursis partiel, et la partie ferme à exécuter fixée à 18 mois, pour tenir compte de la gravité de la faute de l'intimé A______. Afin de limiter le risque de récidive, le délai d'épreuve sera fixé à deux ans. 4.2.2. La Cour considère, avec l'expert, que l'appelant a besoin d'un suivi thérapeutique qu’il n’a pas entrepris spontanément, sous forme d'un traitement ambulatoire, pour diminuer le risque qu'il adopte à nouveau ce type de comportement résultant du trouble délirant, notamment dans le cadre de sa nouvelle union. Un traitement ambulatoire sera ordonné, sans suspension de l'exécution de la peine, celui-ci pouvant se dérouler en milieu pénitentiaire. En effet, les éléments environnementaux stabilisateurs évoqués par l'expert et qui auraient pu justifier d'une suspension de la peine n'existent plus, l'appelant étant sans emploi et ne vivant pas avec son épouse. 5) Dans la mesure où la partie plaignante n’a pas conclu au versement d’une juste indemnité pour les dépenses obligatoires occasionnées par la présente procédure, elle ne s’en verra pas accorder (art. 433 al. 2 CPP). ![endif]&gt;![if&gt; 6) L’appel principal ayant été admis, l'appelant A______, qui succombe en majeure partie, supportera les deux tiers des frais de la procédure envers l'État (art. 428 CPP), comprenant dans leur totalité un émolument de CHF 2'500.- (art. 428 CPP ; art. 14 al. 1 let. e du Règlement fixant le tarif des frais en matière pénale, du 22 décembre 2010 [RTFMP ; E 4 10.03]). Le solde sera laissé à la charge de l’Etat.![endif]&gt;![if&gt; * * * * *</w:t>
      </w:r>
    </w:p>
    <w:p>
      <w:r>
        <w:rPr>
          <w:b/>
        </w:rPr>
        <w:t>E. 3.2</w:t>
      </w:r>
    </w:p>
    <w:p>
      <w:r>
        <w:t>Les lésions corporelles simples aggravées (art. 123 ch. 1 et 2 al. 2 et 6 CP), les menaces (art. 180 al. 1 et 2 let. b CP), la contrainte sexuelle (art. 189 CP) et la séquestration (art. 183 CP) sont passibles d'une peine privative de liberté de trois ou dix ans au plus ou d'une peine pécuniaire, alors que les voies de faits aggravées (art. 126 al. 1 et a let. c CP) sont punies de l'amende.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