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P/12036/2016 vom 18. September 2017</w:t>
      </w:r>
    </w:p>
    <w:p>
      <w:r>
        <w:t>GE Cour de justice, 2017-09-18, FR</w:t>
      </w:r>
    </w:p>
    <w:p>
      <w:r>
        <w:rPr>
          <w:b/>
        </w:rPr>
        <w:t xml:space="preserve">Quelle: </w:t>
      </w:r>
      <w:r>
        <w:t>https://mcp.opencaselaw.ch/entscheid/ge_gerichte_P_12036_2016</w:t>
      </w:r>
    </w:p>
    <w:p>
      <w:r>
        <w:t>FR: GE_GERICHTE P/12036/2016 du 18 septembre 2017</w:t>
      </w:r>
    </w:p>
    <w:p>
      <w:r>
        <w:t>IT: GE_GERICHTE P/12036/2016 del 18 settembre 2017</w:t>
      </w:r>
    </w:p>
    <w:p>
      <w:pPr>
        <w:pStyle w:val="Heading2"/>
      </w:pPr>
      <w:r>
        <w:t>Regeste</w:t>
      </w:r>
    </w:p>
    <w:p>
      <w:r>
        <w:t>SÉQUESTRE(MESURE PROVISIONNELLE) ; SOUPÇON | CPP.263; LStup.19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2.2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La CPAR a déjà retenu des vols commis précédemment, non pas seulement comme antécédents ayant une influence sur la peine à prononcer, mais aussi comme indice de culpabilité s'agissant du mode opératoire utilisé ( AARP/253/2016 ). Selon la jurisprudence, il est connu que ce critère peut être pris en compte lorsqu'il s'agit d'attribuer une infraction à son auteur présumé (arrêt du Tribunal fédéral 6B_931/2016 du 6 juin 2017 consid. 1.2.2.).</w:t>
      </w:r>
    </w:p>
    <w:p>
      <w:r>
        <w:rPr>
          <w:b/>
        </w:rPr>
        <w:t>E. 3.3</w:t>
      </w:r>
    </w:p>
    <w:p>
      <w:r>
        <w:t>En l'espèce, tant l'appelant, D______ que l'intimé s'accordent à dire que le premier a été au contact physique du dernier, sorti fumer une cigarette. Le plaignant a fort bien décrit le manège des auteurs, D______ détournant l'attention de l'intimé en parlant pendant que son comparse le touchait de manière amicale, tout en gesticulant. Il s'agit d'une manière de voler bien connue à Genève et communément appelée par la police " à la Zizous ". L'appelant a au demeurant reconnu cette manière de faire avec son comparse, en audience de confrontation, ayant même encouragé ce dernier à reconnaître sa participation, et le vol commis, ne revenant que plus tard de manière peu crédible sur ses déclarations. Sa troisième ligne de défense – après la contestation du vol puis son admission – consistant à dire avoir trouvé l'objet à terre est ainsi loin de convaincre. Contrairement à ce que soutient l'appelant, si le plaignant n'a pas, dans un premier temps, pu s'imaginer un vol, tant les auteurs ont été habiles pour lui dérober son bien, cela lui a pourtant paru évident après l'appel des agents municipaux. L'intimé a été d'emblée formel et constant s'agissant d'avoir été en possession de cet appareil, dans la poche de son pantalon, au moment de sortir fumer. C'est directement après son contact avec l'appelant et la diversion de son comparse D______ qu'il s'est aperçu de sa disparition. Cette manière de faire est par ailleurs coutumière chez le prévenu qui a été condamné par deux fois pour des cas en tous points similaires, dont un vol de téléphone dans un pantalon (OPMP/____/2014 du 25 juillet 2014 - P/____/2014), en sus d'un sac à main posé à terre, ayant dans les trois cas agi avec un comparse. Au surplus, il est à noter que D______ n'a pas contesté sa condamnation pour les faits du 17 novembre 2016. Il existe ainsi un faisceau d'indices convergent du vol par l'appelant et son comparse du téléphone de la victime, le bris de possession étant intervenu au moment pour l'appelant de sortir cet objet de la poche du pantalon de la victime, tout en la palpant et en gesticulant, ce vêtement fût-il près du corps, de sorte à ce qu'elle ne s'aperçoive qu'ultérieurement de sa disparition, une fois les auteurs en fuite. Pour l'ensemble de ces motifs, la CPAR confirme la décision des premiers juges et reconnaît A______ coupable de vol au sens de l'art. 139 ch.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4.2</w:t>
      </w:r>
    </w:p>
    <w:p>
      <w:r>
        <w:t>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et 7). Au regard de la jurisprudence, les condamnations prises en compte en application de l'art. 42 al. 2 CP doivent être entrées en force avant la commission des faits reprochés, soit constituer un antécédent (arrêt du Tribunal fédéral 6B_348/2014 du 19 juin 2014 consid. 2.4 non publié in ATF 140 IV 97 ).</w:t>
      </w:r>
    </w:p>
    <w:p>
      <w:r>
        <w:rPr>
          <w:b/>
        </w:rPr>
        <w:t>E. 4.2.1</w:t>
      </w:r>
    </w:p>
    <w:p>
      <w:r>
        <w:t>A teneur de l'art. 49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 Jugendstrafgesetz,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En l'espèce, le prévenu est reconnu coupable de vol au sens de l'art. 139 ch. 1 CP et d'infractions aux art. 115 al. 1 let. b et 119 LEtr, concours d'infractions conduisant à une aggravation de la peine dans une juste proportion. La faute de l'appelant n'est pas anodine. Son mobile est égoïste. Sa situation personnelle, bien que précaire, ne peut justifier ses agissements dans la mesure où elle résulte de son choix de demeurer en Suisse sans droit. Sa collaboration à la procédure doit être qualifiée de mauvaise. Bien qu'il ait admis certains faits, qu'il pouvait au demeurant difficilement contester ayant en particulier été interpellé sur le territoire où il résidait sans droit, dans une zone du canton lui étant interdite, il a continué – après l'avoir reconnu – à nier, jusqu'au stade de l'appel, avoir joué un quelconque rôle dans la commission du vol, en dépit des éléments contraires figurant au dossier et l'accablant. Sa prise de conscience apparait ainsi des plus incomplète. Il a de nombreux antécédents pour des infractions contre le patrimoine et à la LEtr. Il n'a tiré aucune leçon des décisions de justice prises à son encontre. Il n'a pas davantage su tirer profit d'une libération conditionnelle, pas plus que de deux refus subséquents et plus récents, et s'est montré insensible à ses condamnations subséquentes. Vu la répétition de délits de même genre, mais aussi contre la LStup, en l'espace de quelques mois seulement, la situation précaire de l'appelant en Suisse qui ne s'est pas améliorée depuis sa venue et dont aucun élément du dossier ne laisse présager que tel pourrait être le cas à l'avenir, le pronostic ne peut qu'être défavorable. Par conséquent, seule une peine ferme pouvait être prononcée. Eu égard à son statut administratif et aux peines privatives de liberté déjà fixées, et, manifestement non dissuasives, la propension de l'appelant à commettre des infractions ne permet pas d'envisager une peine de travail d'intérêt général ou une peine pécuniaire au titre de sanction, ce qu'il ne plaide au demeurant pas. C’est donc à bon droit que le premier juge l'a condamné à une peine privative de liberté ferme de six mois, dont à déduire les 34 jours de détention avant jugement. L'octroi du sursis est exclu, vu la condamnation à une peine privative de liberté de six mois prononcée en juin 2016 et en l'absence de la moindre circonstance permettant de retenir que le pronostic serait particulièrement favorable (art. 42 al. 2 CP). La peine prononcée par le premier juge sera donc confirmée.</w:t>
      </w:r>
    </w:p>
    <w:p>
      <w:r>
        <w:rPr>
          <w:b/>
        </w:rPr>
        <w:t>E. 5</w:t>
      </w:r>
    </w:p>
    <w:p>
      <w:r>
        <w:t>L'appelant, qui succombe, supportera les frais de la procédure envers l'Etat, comprenant un émolument de jugement de CHF 2'000.-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1'300.-) à laquelle s'ajoute la majoration forfaitaire de 20% (CHF 260.-) et l'équivalent de la TVA au taux de 8% (CHF 124.80), pour un total de CHF 1'684.80.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