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P/1200/2020 vom 24. Januar 2023</w:t>
      </w:r>
    </w:p>
    <w:p>
      <w:r>
        <w:t>GE Cour de justice, 2023-01-24, FR</w:t>
      </w:r>
    </w:p>
    <w:p>
      <w:r>
        <w:rPr>
          <w:b/>
        </w:rPr>
        <w:t xml:space="preserve">Quelle: </w:t>
      </w:r>
      <w:r>
        <w:t>https://mcp.opencaselaw.ch/entscheid/ge_gerichte_P_1200_2020</w:t>
      </w:r>
    </w:p>
    <w:p>
      <w:r>
        <w:t>FR: GE_GERICHTE P/1200/2020 du 24 janvier 2023</w:t>
      </w:r>
    </w:p>
    <w:p>
      <w:r>
        <w:t>IT: GE_GERICHTE P/1200/2020 del 24 gennaio 2023</w:t>
      </w:r>
    </w:p>
    <w:p>
      <w:pPr>
        <w:pStyle w:val="Heading2"/>
      </w:pPr>
      <w:r>
        <w:t>Regeste</w:t>
      </w:r>
    </w:p>
    <w:p>
      <w:r>
        <w:t>CONTRAINTE(DROIT PÉNAL) | CP.186; CP.181; CPP.430.al1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Se rend coupable de contrainte au sens de l'art. 181 CP, passible d’une peine privative de liberté de trois ans au plus ou d’une peine pécuniaire, celui qui, en usant de violence envers une personne ou en la menaçant d'un dommage sérieux ou en l'entravant de quelque autre manière dans sa liberté d'action, l'oblige à faire, à ne pas faire ou à laisser faire quelque chose (ATF 141 IV 437 consid. 3.2.1 ; 134 IV 216 consid. 4.4). D'un point de vue subjectif, l'art. 181 CP exige que l'auteur agisse avec intention, c'est-à-dire que, conscient de l'illicéité de son comportement, il veuille contraindre sa victime à adopter un certain comportement ; le dol éventuel suffit (ATF 120 IV 17 consid. 2c ; 96 IV 58 consid. 5 ; arrêt 6B_461/2020 du 19 avril 2021 consid. 2.3). Le bailleur qui change les clés de l’appartement remis à bail, pour empêcher son locataire d’y accéder et en reprendre ainsi possession sans passer par la procédure d’expulsion, entrave son locataire dans sa liberté d’action et se rend ainsi coupable de contrainte (cf. arrêts du Tribunal fédéral 6B_510/2022 du 31 août 2022 et 6B_1008/2021 du 9 novembre 2021).</w:t>
      </w:r>
    </w:p>
    <w:p>
      <w:r>
        <w:rPr>
          <w:b/>
        </w:rPr>
        <w:t>E. 2.2</w:t>
      </w:r>
    </w:p>
    <w:p>
      <w:r>
        <w:t>L’art. 186 CP punit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Le droit au domicile appartient à la personne qui a le pouvoir de disposer des lieux, en vertu d'un droit contractuel, d'un droit réel ou d'un rapport de droit public (ATF 128 IV 81 consid. 3 p. 84 ; arrêt du Tribunal fédéral 6B_1056/2013 du 20 août 2014 consid. 1.1). En concluant un contrat de bail, le bailleur renonce à son droit au domicile, de sorte que, pendant la durée du contrat, seul le locataire, respectivement le sous-locataire, dispose de la qualité d'ayant droit au sens de l'art. 186 CP (B. CORBOZ, Les infractions en droit suisse , volume I, 3 e édition, Berne 2010, n. 27 ad art. 186 CP). Au terme du contrat, le locataire demeure, aussi longtemps qu'il conserve la maîtrise effective des lieux qu'il occupe, seul titulaire du droit au domicile ; ce droit cesse avec le départ de l'occupant. La violation du contrat de bail à loyer par le locataire touche aux prétentions de droit civil du bailleur et du propriétaire, mais n'empiète pas sur la sphère privée qui est l'objet de la liberté de domicile protégé par le droit pénal. Dans de tels cas, le bailleur ne pourra avoir recours qu'aux moyens offerts par la procédure civile et le droit de la poursuite pour dettes et faillite (ATF 112 IV 31 consid. 3 p. 33 s. ; arrêt du Tribunal fédéral 6B_1056/2013 du 20 août 2014 consid. 1.1 ; M. DUPUIS / L. MOREILLON / C. PIGUET / S. BERGER / M. MAZOU / V. RODIGARI, op. cit ., n. 21 ad art. 186).</w:t>
      </w:r>
    </w:p>
    <w:p>
      <w:r>
        <w:rPr>
          <w:b/>
        </w:rPr>
        <w:t>E. 2.3</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6 ).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arrêts du Tribunal fédéral 6B_960/2017 du 2 mai 2018 consid. 3.2 ; 6B_507/2017 du 8 septembre 2017 consid. 3.4).</w:t>
      </w:r>
    </w:p>
    <w:p>
      <w:r>
        <w:rPr>
          <w:b/>
        </w:rPr>
        <w:t>E. 2.4</w:t>
      </w:r>
    </w:p>
    <w:p>
      <w:r>
        <w:t>En l’espèce, il ressort de la procédure que l’appelante principale était au bénéfice d’un contrat de bail, plus précisément de sous-location, portant sur un appartement dont la prévenue, bailleresse, était locataire principale. A la suite de leur litige, celle-ci a adopté une attitude contradictoire, puisqu’elle a refusé la résiliation anticipée du bail, en rappelant que le délai de congé était de deux mois, tout en invitant sa locataire à se présenter pour un état des lieux de sortie le 31 janvier 2019, soit deux mois avant l’échéance du bail. Si la locataire avait accepté cette situation en participant à l’état des lieux de sortie, l’intimée aurait logiquement recouvré la possession des lieux. Tel n’a toutefois pas été le cas. Manifestement en raison de leur litige, les parties n’ont pas réussi à s’entendre pour convenir d’une résiliation anticipée de bail. L’appelante a certes intégré un autre appartement en France, ne conservant en quelque sorte celui de Genève qu’à titre de résidence secondaire. Elle n’a toutefois pas définitivement quitté les lieux. La prévenue l’admet d’ailleurs à demi-mot, en lui reprochant de ne pas avoir acquitté le loyer pour les mois de février et mars 2019 ainsi que de ne pas avoir procédé au nettoyage final avant qu’elle ne reprenne possession des lieux. La demande de la régie, qui visait à pouvoir organiser une visite de l’appartement quelques jours plus tard, demande que la prévenue n’allègue même pas avoir transmise à sa locataire, ne l’autorisait pas à pénétrer dans l’appartement à l’insu et contre le gré de sa locataire. Il lui incombait en effet de lui transmettre cette information afin que celle-ci prenne les dispositions nécessaires, ce qu’elle aurait d’autant plus aisément pu faire que les parties correspondaient par courriel et par messagerie téléphonique. Le fait que l’appartement semblait inoccupé (stores baissés) ne justifie pas non plus, en l’absence d’urgence, d’y entrer sans autorisation et d’en changer les serrures. Le fait qu’un locataire soit absent (il peut être en vacances), voire qu’il n’utilise que ponctuellement l’objet du bail (comme par exemple une résidence secondaire, ou en raison d’études ou d’occupation temporaire à l’étranger) ne signifie pas encore qu’il l’a abandonné et que le propriétaire peut en reprendre possession. Il n’y a en particulier pas d’erreur sur ce point, laquelle n’est pas plaidée et n’apparaît au surplus pas compatible avec le comportement de la prévenue au moment des faits, qui procède bien plutôt d’une volonté d’évacuer rapidement sa locataire. La prévenue ne peut enfin rien tirer du fait que la partie plaignante a limité ses conclusions civiles devant le TBL aux loyers courant jusqu’en janvier 2019, puisque ces conclusions ont été déposées plusieurs mois plus tard et tenaient manifestement compte du fait que la locataire avait perdu l’accès à son appartement en février. Ainsi, et comme l’a aussi retenu le TBL, dans la mesure où le contrat de bail n’avait pas pris fin, la prévenue n’était pas autorisée à pénétrer dans l’appartement objet du bail avant que la locataire ne l’eut définitivement quitté. Il en découle que la prévenue s’est bien rendue coupable de violation de domicile, au sens de l’art. 186 CP, en pénétrant dans l’appartement sis no. ______ bd 1______ sans l’accord de la sous-locataire, aux alentours du 13 février 2019. Par ailleurs, en changeant les serrures de cet appartement pour empêcher sa sous-locataire d’y pénétrer et en mettant de la sorte, de facto , une fin prématurée au contrat de bail, la prévenue a entravé l’appelante principale dans la jouissance de son bien et s’est ainsi également rendue coupable de contrainte (art. 181 CP). Le jugement entrepris sera donc modifié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3.4</w:t>
      </w:r>
    </w:p>
    <w:p>
      <w:r>
        <w:t>En l’espèce, la faute de la prévenue est légère. Ses mobiles relèvent essentiellement de la volonté de se faire justice propre, dans un contexte de litige civil. Elle a agi par facilité, sans respecter la sphère privée de sa locataire, et vraisemblablement aussi dans un mouvement de colère en raison du litige les opposant. En raison du refus de la prévenue de s’exprimer sur sa situation personnelle, il est difficile d’apprécier plus finement sa faute. Rien ne justifiait toutefois, dans de telles circonstances, et alors qu’elle avait retiré de juteux bénéfices de la sous-location litigieuse, qu’elle agisse de la sorte et se substitue à l’autorité légitime. Elle aurait en effet pu contacter sa locataire (notamment par téléphone, courriel ou WhatsApp, moyens que les parties avaient utilisés précédemment), attendre l’échéance du bail voire agir devant le TBL. La prévenue n’a pas d’antécédent et remplit les conditions du prononcé d’une peine pécuniaire, adéquate pour sanctionner son comportement illicite. La contrainte et la violation de domicile sont objectivement d’égale gravité ; la première étant poursuivie d’office, elle constitue néanmoins l’infraction la plus grave pour laquelle une peine de base de dix jours-amende apparaît adéquate au vu de la faute commise et des circonstances de l’espèce. Cette peine sera portée à 15 jours-amende pour tenir compte de la violation de domicile (peine théorique de dix jours-amende). En l’absence d’informations sur la situation financière de la prévenue, le jour-amende sera fixé en fonction du revenu qu’elle a allégué à l’appui de sa demande d’indemnisation, soit un salaire mensuel de l’ordre de CHF 10'000.- ; le montant du jour-amende sera arrêté à CHF 250.-. Cette peine sera assortie du sursis, dont la prévenue remplit les conditions, et d’un délai d’épreuve de deux ans. La privation de liberté consécutive au mandat d’amener (lequel était justifié par le refus de la prévenue de répondre aux convocations de la police, cf. art. 206 al. 2 CPP) sera déduite à raison d’un jour (art. 51 CP). L’appel principal est ainsi admis.</w:t>
      </w:r>
    </w:p>
    <w:p>
      <w:r>
        <w:rPr>
          <w:b/>
        </w:rPr>
        <w:t>E. 4.1</w:t>
      </w:r>
    </w:p>
    <w:p>
      <w:r>
        <w:t>L'appel principal ayant été admis, l’intimée, qui succombe, supportera les frais de la procédure d’appel envers l'État (art. 428 CPP).</w:t>
      </w:r>
    </w:p>
    <w:p>
      <w:r>
        <w:rPr>
          <w:b/>
        </w:rPr>
        <w:t>E. 4.2</w:t>
      </w:r>
    </w:p>
    <w:p>
      <w:r>
        <w:t>Conformément à l’art. 428 al. 3 CPP, si l’autorité de recours rend elle-même une nouvelle décision, elle se prononce également sur les frais fixés par l’autorité inférieure.</w:t>
      </w:r>
    </w:p>
    <w:p>
      <w:r>
        <w:rPr>
          <w:b/>
        </w:rPr>
        <w:t>E. 4.3</w:t>
      </w:r>
    </w:p>
    <w:p>
      <w:r>
        <w:t>Selon l'art. 426 al. 1 CPP, le prévenu supporte les frais de procédure s'il est condamné. L'art. 426 al. 2 CPP précise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4.4</w:t>
      </w:r>
    </w:p>
    <w:p>
      <w:r>
        <w:t>En l’espèce, la prévenue a été définitivement acquittée par le premier juge de l’infraction d’usure qui lui était reprochée par le MP. Elle ne devrait ainsi pas supporter les frais de la procédure en lien avec cette infraction. Cela étant, il découle de la procédure que la prévenue a violé plusieurs règles impératives du droit du bail, en omettant initialement d’adresser à sa locataire la formule officielle relative à la fixation du loyer initial (art. 19 al. 3 de l'ordonnance sur le bail à loyer [OBLF]) et d’avertir le bailleur principal de la sous-location (cf. art. 262 du code des obligations [CO]), étant relevé que le respect de cette seconde obligation aurait permis de rectifier le loyer fixé, lequel était manifestement abusif par rapport à celui du bail principal, au sens de l’art. 262 al. 2 let. b CO. La prévenue a également contrevenu à l’art. 257e CO, qui impose au bailleur, lorsque le locataire fournit des sûretés en espèces, de les déposer auprès d’une banque, sur un compte d’épargne ou de dépôt au nom du locataire. Il en découle que, nonobstant l’acquittement en lien avec l’infraction d’usure, la prévenue a, par ces violations multiples des règles applicables en matière de droit du bail et par la fixation d’un loyer abusif au sens de l’art. 262 CO, provoqué illicitement et fautivement l'ouverture de la procédure pénale. En conséquence, elle supportera l’intégralité des frais de la procédure préliminaire et de première instance.</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À teneur de l'art. 429 al. 1 let. a CPP, l'indemnité est limitée aux dépenses occasionnées par l'exercice raisonnable des droits de procédure du prévenu.</w:t>
      </w:r>
    </w:p>
    <w:p>
      <w:r>
        <w:rPr>
          <w:b/>
        </w:rPr>
        <w:t>E. 5.2</w:t>
      </w:r>
    </w:p>
    <w:p>
      <w:r>
        <w:t>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w:t>
      </w:r>
    </w:p>
    <w:p>
      <w:r>
        <w:rPr>
          <w:b/>
        </w:rPr>
        <w:t>E. 5.3</w:t>
      </w:r>
    </w:p>
    <w:p>
      <w:r>
        <w:t>En l’espèce, la prévenue est condamnée en application des art. 426 al. 1 et 2 CPP à supporter l’intégralité des frais de la procédure. Il n’y a dès lors pas place pour une application de l’art. 429 CPP et elle sera déboutée de ses conclusions en indemnisation. Les mesures de contrainte ordonnées par le MP (mandats) étaient justifiées par les besoins de l’enquête ; aucune indemnisation n’est non plus due de ce fait (art. 431 CPP).</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6.2</w:t>
      </w:r>
    </w:p>
    <w:p>
      <w:r>
        <w:t>En l’espèce, la partie plaignante obtient gain de cause. Cela étant, les prétentions qu’elle fait valoir ne sont pas du ressort de la Cour de céans. En effet, seuls peuvent être pris en compte pour l’application de l’art. 433 CPP les frais d’avocat en lien avec la procédure pénale ; or, l’appelante n’a pas été assistée d’un conseil, les frais d’avocat qu’elle fait valoir étant liés à la procédure devant le TBL. Par ailleurs, la demande en paiement liée au remboursement de la caution et à des frais postaux est doublement irrecevable. Il s’agit en effet de conclusions civiles en réparation du dommage matériel, qui n’ont pas été formulées dans la déclaration d’appel et qui, de surcroît, font l’objet de la procédure TBL. Cette litispendance fait ainsi obstacle, en tout état de cause, à leur examen par la CPAR. L’appelante sera dès lors déboutée de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