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P/12000/2022 vom 30. Januar 2023</w:t>
      </w:r>
    </w:p>
    <w:p>
      <w:r>
        <w:t>GE Cour de justice, 2023-01-30, FR</w:t>
      </w:r>
    </w:p>
    <w:p>
      <w:r>
        <w:rPr>
          <w:b/>
        </w:rPr>
        <w:t xml:space="preserve">Quelle: </w:t>
      </w:r>
      <w:r>
        <w:t>https://mcp.opencaselaw.ch/entscheid/ge_gerichte_P_12000_2022</w:t>
      </w:r>
    </w:p>
    <w:p>
      <w:r>
        <w:t>FR: GE_GERICHTE P/12000/2022 du 30 janvier 2023</w:t>
      </w:r>
    </w:p>
    <w:p>
      <w:r>
        <w:t>IT: GE_GERICHTE P/12000/2022 del 30 gennaio 2023</w:t>
      </w:r>
    </w:p>
    <w:p>
      <w:pPr>
        <w:pStyle w:val="Heading2"/>
      </w:pPr>
      <w:r>
        <w:t>Regeste</w:t>
      </w:r>
    </w:p>
    <w:p>
      <w:r>
        <w:t>ORDONNANCE DE NON-ENTRÉE EN MATIÈRE;DIFFAMATION;EMPÊCHEMENT(EN GÉNÉRAL) | CP.173; CP.174</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reproche au Ministère public de ne pas être entré en matière sur sa plainte.![endif]&gt;![if&gt;</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Des motifs de fait peuvent justifier le prononcé d'une non-entrée en matière en particulier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(arrêt du Tribunal fédéral 1B_67/2012 du 29 mai 2012 consid. 3.2.).</w:t>
      </w:r>
    </w:p>
    <w:p>
      <w:r>
        <w:rPr>
          <w:b/>
        </w:rPr>
        <w:t>E. 2.2</w:t>
      </w:r>
    </w:p>
    <w:p>
      <w:r>
        <w:t>L'art. 173 ch. 1 CP réprime, sur plainte,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fait d'accuser une personne d'avoir commis un crime ou un délit intentionnel entre dans les prévisions de l'art. 173 ch. 1 CP (ATF 132 IV 112 consid. 2.2 p. 115 ; 118 IV 248 consid. 2b p. 250 s. ; arrêt du Tribunal fédéral 6B_138/2008 du 22 janvier 2009 consid. 3.1.). En revanche, accuser quelqu'un de " faire fi des lois " ne signifie pas encore l'accuser d'avoir commis une infraction (arrêt du Tribunal fédéral 6B_6/2015 du 23 mars 2016 consid. 3.2).</w:t>
      </w:r>
    </w:p>
    <w:p>
      <w:r>
        <w:rPr>
          <w:b/>
        </w:rPr>
        <w:t>E. 2.3</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2.4</w:t>
      </w:r>
    </w:p>
    <w:p>
      <w:r>
        <w:t>En l'espèce, contrairement à ce que soutient le recourant, il n'apparait pas possible de déterminer l'origine de l'information erronée qui circule sur son compte. À teneur du dossier, deux des témoins proposés par le recourant lui ont déjà exprimé ne pas connaitre la provenance de la rumeur. Rien ne permet de retenir que cette posture serait liée au devoir de fidélité ou de confidentialité envers leur employeur. En outre, aucun élément apporté par le recourant ne permet de présumer que leur réponse ou celle des autres témoins serait différente devant le Ministère public. Bien que deux témoins aient évoqué un lien entre la rumeur et le Conseil, cela ne suffit pas encore pour retenir que ces allégations seraient limitées à ce cercle et y trouveraient leur origine. Au demeurant, le recourant évoque lui-même que les informations communiquées par les avocats de la Fondation pourraient avoir conduit plusieurs personnes à former leur opinion de manière erronée. Partant, il ne parait pas que l'auteur ou les auteurs, à l'origine de la rumeur et de sa propagation - si tant est qu'elle puisse être issue d'une infraction pénale - pourraient être identifiés par le biais des auditions requises par le recourant. C'est donc à bon droit que le Ministère public a refusé d'entrer en matière. Cette conclusion dispense la Chambre de céans d'examiner l'absence d'une éventuelle volonté de nuire.</w:t>
      </w:r>
    </w:p>
    <w:p>
      <w:r>
        <w:rPr>
          <w:b/>
        </w:rPr>
        <w:t>E. 3</w:t>
      </w:r>
    </w:p>
    <w:p>
      <w:r>
        <w:t>Justifiée, l'ordonnance querellée sera donc confirmée, ce que la Chambre de céans pouvait constater d'emblée sans procéder à un échange d'écriture ou à des débats (art.  390 al. 2 et 5 a contrario CPP).![endif]&gt;![if&gt;</w:t>
      </w:r>
    </w:p>
    <w:p>
      <w:r>
        <w:rPr>
          <w:b/>
        </w:rPr>
        <w:t>E. 4</w:t>
      </w:r>
    </w:p>
    <w:p>
      <w:r>
        <w:t>Le recourant, qui succombe, supportera les frais envers l'État, qui seront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