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P/11/2018 vom 13. Januar 2020</w:t>
      </w:r>
    </w:p>
    <w:p>
      <w:r>
        <w:t>GE Cour de justice, 2020-01-13, FR</w:t>
      </w:r>
    </w:p>
    <w:p>
      <w:r>
        <w:rPr>
          <w:b/>
        </w:rPr>
        <w:t xml:space="preserve">Quelle: </w:t>
      </w:r>
      <w:r>
        <w:t>https://mcp.opencaselaw.ch/entscheid/ge_gerichte_P_11_2018</w:t>
      </w:r>
    </w:p>
    <w:p>
      <w:r>
        <w:t>FR: GE_GERICHTE P/11/2018 du 13 janvier 2020</w:t>
      </w:r>
    </w:p>
    <w:p>
      <w:r>
        <w:t>IT: GE_GERICHTE P/11/2018 del 13 gennaio 2020</w:t>
      </w:r>
    </w:p>
    <w:p>
      <w:pPr>
        <w:pStyle w:val="Heading2"/>
      </w:pPr>
      <w:r>
        <w:t>Regeste</w:t>
      </w:r>
    </w:p>
    <w:p>
      <w:r>
        <w:t>BRIGANDAGE;RECEL | CP.140.al1; CP.140.al3; CP.160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1 .2.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2.1.3. La manière dont l'acte délictueux est exécuté relève de l'action commune des auteurs, les coauteurs en étant également pleinement responsables. Même si un seul des coauteurs s'est montré particulièrement dangereux, son comportement est opposable aux autres; cela vaut pour autant que ce comportement puisse relever de la décision dont l'infraction est le fruit (arrêt du Tribunal fédéral 6B_797/2018 du 19 septembre 2018   consid. 2.2 et les références citées).</w:t>
      </w:r>
    </w:p>
    <w:p>
      <w:r>
        <w:rPr>
          <w:b/>
        </w:rPr>
        <w:t>E. 2.2</w:t>
      </w:r>
    </w:p>
    <w:p>
      <w:r>
        <w:t>En l'espèce, l'appelant a, concomitamment à l'agression par H______ de F______, attaqué D______, qui se trouvait avec ce dernier, en le frappant dans le but de le voler tout en constatant que son comparse, qui avait le même but, avait sorti un couteau au moyen duquel il frappait ou cherchait à frapper ses opposants qui avaient été rejoints par K______ et L______ venus à l'aide. Cela ne l'a pas empêché de persister dans son dessein de vol avec violence puisqu'il a poursuivi D______ qui cherchait à fuir, l'a rattrapé et l'a frappé et mis au sol avant que H______ ne les rejoigne couteau à la main et que la partie plaignante ne soit dépouillée, chacun des deux agresseurs conservant une partie du butin. La contribution des deux auteurs a ainsi été essentielle à l'exécution de l'infraction commise dans son ensemble, de sorte que les deux hommes peuvent être considérés comme des coauteurs. Dans cette mesure, il n'est d'ailleurs pas nécessaire de déterminer qui a donné quels coups exactement pour causer quelles blessures, le résultat intervenu étant de toute évidence la conséquence d'une action conjointe, y compris quant au bris des lunettes de F______. Aucun élément du dossier ne démontre que l'appelant se trouvait en compagnie de son amie au moment où D______ s'est fait dérober montre, téléphone portable et portemonnaie. Au contraire, ce dernier a toujours fait état d'une action conjointe des deux comparses à ce moment. Ce faisant, l'appelant a démontré une dangerosité particulière, en agissant à deux, d'abord en persistant malgré l'opposition des parties plaignantes, puis acceptant sans scrupules que, pour favoriser son dessein d'enrichissement illégitime, celles-ci puissent être à tout instant blessées gravement, voire plus, par un couteau, outre qu'il donnait lui-même sans hésitation des coups dont il ne pouvait que savoir qu'ils étaient de nature à causer des lésions corporelles. Dans la mesure de ce qui précède, il est exclu de considérer que A______ a pu agir sous l'influence d'une appréciation erronée des faits au sens de l'art. 13 CP. Mal fondé, l'appel est ainsi rejeté, le jugement étant confirmé quant à la culpabilité pour brigandage aggravé, lésions corporelles - au préjudice de J______ et K______, celles-ci étant absorbées par la culpabilité de brigandage aggravé s'agissant de F______ et D______ - ainsi que pour le dommage à la propriété pour les lunettes cassées de F______.</w:t>
      </w:r>
    </w:p>
    <w:p>
      <w:r>
        <w:rPr>
          <w:b/>
        </w:rPr>
        <w:t>E. 3</w:t>
      </w:r>
    </w:p>
    <w:p>
      <w:r>
        <w:t>3.1 . 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Le point de savoir si l'auteur du délit préalable a été poursuivi ou puni est sans pertinence. Il suffit que l'acte initial réalise les conditions objectives d'un comportement pénalement répréhensible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 du Tribunal fédéral du 7 décembre 2017 6B_189/2017 consid. 4 et les références citées).</w:t>
      </w:r>
    </w:p>
    <w:p>
      <w:r>
        <w:rPr>
          <w:b/>
        </w:rPr>
        <w:t>E. 3.2</w:t>
      </w:r>
    </w:p>
    <w:p>
      <w:r>
        <w:t>En l'espèce, A______ conteste la réalisation du recel au motif qu'il ne pouvait se douter que les cartes bancaires de G______ avaient été volées et qu'il n'y a pas prêté attention. La CPAR relève que les explications de A______ ont été contradictoires au sujet de la possession des dites cartes. Il a d'abord indiqué ne pas savoir comment elles s'étaient trouvées dans ses habits, allant jusqu'à suggérer dans un second temps que c'était H______ qui les y avait placées à son insu. Devant le TCor, il a admis s'en être fait remettre une par ce dernier pour écraser de la cocaïne, admettant cependant, ultérieurement, qu'il y en avait deux. Son explication est cependant peu crédible dans la mesure où s'il s'était agi effectivement d'en prendre possession dans un but utilitaire pour consommer de la cocaïne, l'on ne comprend pas pourquoi il lui a été nécessaire de se procurer deux cartes bancaires. D'autre part, au vu de la situation personnelle de H______ et de son statut précaire, il ne pouvait que se douter qu'il ne s'agissait pas des propres cartes de ce dernier et dès lors en soupçonner une provenance délictueuse vu le nom figurant sur ces cartes. Il est par ailleurs notoire qu'une carte de crédit, même sans son code PIN, peut être utilisée sur internet en complétant les données figurant au recto et au verso de ladite carte pour une valeur économique supérieure à CHF 300.-. Compte tenu de ce qui précède, c'est à juste titre que les premiers juges ont reconnu A______ coupable de recel dans la mesure où il n'a pu prendre possession de ces cartes bancaires que dans son intérêt personnel en ne pouvant que présumer que celles-ci avaient été obtenues au moyen d'une infraction contre le patrimoine et dans l'intention d'en tirer un profit éventuel. L'appel sera ainsi rejeté sur ce point et le jugement confirmé.</w:t>
      </w:r>
    </w:p>
    <w:p>
      <w:r>
        <w:rPr>
          <w:b/>
        </w:rPr>
        <w:t>E. 4</w:t>
      </w:r>
    </w:p>
    <w:p>
      <w:r>
        <w:t>L'appelant, qui conclut à une peine clémente n'a pas critiqué en tant que telle la quotité de la peine prononcée, sous la réserve de l'accueil de l'appel quant aux acquittements requis.</w:t>
      </w:r>
    </w:p>
    <w:p>
      <w:r>
        <w:rPr>
          <w:b/>
        </w:rPr>
        <w:t>E. 4.1</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4.1.2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4.1.3</w:t>
      </w:r>
    </w:p>
    <w:p>
      <w:r>
        <w:t>Le juge fixe la peine en fonction de la gravité de la faute qui doit être évaluée au regard des circonstances de l'infraction et de la personne de l'auteur. Or si les circonstances qui conduisent à élever ou à diminuer le cadre de la peine ne doivent pas être prises en considération une seconde fois comme éléments aggravants ou atténuants dans le cadre modifié de la peine, le juge peut en revanche tenir compte dans la fixation de la peine de l'intensité de cette circonstance (arrêts du Tribunal fédéral 6B_1297/2015 du 22 mars 2017 consid. 5.3.1 ; 6B_1196/2015 du 27 juin 2016 consid. 2.3.2 ; ATF 118 IV 342 consid. 2b p. 347 s. ; cf. ATF 141 IV 41 consid. 6.1.3 p. 68).</w:t>
      </w:r>
    </w:p>
    <w:p>
      <w:r>
        <w:rPr>
          <w:b/>
        </w:rPr>
        <w:t>E. 4.1.4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4.1.5</w:t>
      </w:r>
    </w:p>
    <w:p>
      <w:r>
        <w:t>Dans l'exercice de son pouvoir d'appréciation, le juge doit respecter, en particulier, le principe d'égalité de traitement (art. 8 al. 1 Cst. féd.; ATF 135 IV 191 consid. 3.2).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w:t>
      </w:r>
    </w:p>
    <w:p>
      <w:r>
        <w:rPr>
          <w:b/>
        </w:rPr>
        <w:t>E. 4.1.6</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4.2.1. En l'espèce, il sera faitapplication du droit en vigueur à dater du 1 er janvier 2018, les actes reprochés à l'appelant ayant été essentiellement commis sous l'empire de ce droit, seules certaines infractions à la LEI tombant sous l'ancien droit, étant relevé que, matériellement, cette application n'entraînera aucun effet particulier quant à la peine à prononcer, en regard de celui-ci. La faute de l'appelant est lourde dans la mesure où, agissant avec un comparse et à des fins d'enrichissement illégitime, il s'en est pris avec une grande violence aux parties plaignantes en causant des lésions corporelles. Pour deux d'entre elles, les conséquences ont été importantes, particulièrement pour F______ dont le visage porte toujours une cicatrice alors que D______ a subi, selon ses indications, une perte d'acuité visuelle. Outre l'atteinte directe à leur patrimoine, tous deux ont perdu leur emploi suite aux faits. Ces deux parties plaignantes sont également durablement marquées par ces évènements sur le plan psychologique et leur comportement en a été modifiés dès lors qu'ils sont habités par la crainte de sortir le soir. L'appelant a agi pour un mobile purement égoïste sans considération aucune pour les victimes. Comme l'a relevé le TCor, il n'a pas hésité à s'en prendre à trois, voire quatre personnes, faisant preuve de persévérance dans son intention délictuelle. Sa situation personnelle, certes difficile vu son statut illégal, ne saurait expliquer son comportement, étant relevé qu'il en est pleinement responsable. A cela s'ajoute une collaboration exécrable à l'établissement des faits qui témoigne de l'absence de prise de conscience de l'appelant de la gravité des faits dont il a été reconnu coupable. Aucun regret n'a été formulé ni excuses envers les parties plaignantes. Seules des excuses de circonstance ont été faites à l'adresse du TCor. C'est à juste titre que les premiers juges ont retenu qu'au vu de la gravité de la faute, les unités pénales à prononcer n'étaient pas compatibles avec l'octroi d'un sursis partiel, lequel ne serait d'ailleurs pas envisageable au vu du pronostic défavorable Cinq autres infractions ont été commises en concours avec le brigandage (lésions corporelles, dommages à la propriété, recel, LStup, LEI) qui touchent de multiples biens juridiques. Quatre d'entre elles constituent des récidives spécifiques, ce qui témoigne du peu d'effet qu'ont eu sur l'appelant ses précédentes condamnations en tant que majeur, étant relevé qu'il a déjà subi une peine privative de liberté. Il s'en suit que seul un pronostic défavorable peut être formulé sur son comportement futur et qu'une peine privative de liberté doit sanctionner l'ensemble des infractions dont il a été reconnu coupable. Pour le seul brigandage aggravé, une peine privative de liberté de l'ordre de deux ans et demi devrait être prononcée, à quoi s'ajouteraient les lésions corporelles pour une durée de peine privative de liberté de neuf mois. Pour les autres infractions, en situation de récidive, une peine globale de l'ordre de neuf mois paraît également adéquate, ce qui conduirait ainsi au prononcé d'une peine privative de liberté de quatre ans comme prononcée par les premiers juges. Il sied cependant de relever quant à la fixation de la peine de l'appelant et celle de son comparse, que les premiers juges ont considéré que c'était A______ qui avait porté le coup de couteau au visage de F______ et que sa faute en était d'autant plus lourde. Or, la CPAR ne retient pas que c'est l'appelant qui a porté ce coup de couteau, même si, sur le plan de la qualification juridique, les deux comparses ont été reconnu coupables de brigandage aggravé. Cette circonstance doit être prise en compte. Cela étant, les premiers juges ont également considéré à raison que H______ avait fait preuve d'une meilleure collaboration et démontré une relative prise de conscience, celle-ci étant absente chez l'appelant, ce que la CPAR ne peut que constater. Au vu des principes régissant l'égalité de traitement et compte tenu de ce qui précède, il apparaît justifié de quelque peu réduire la peine prononcée envers A______, nonobstant l'absence de prise de conscience de sa part. Une peine privative de liberté de 3 ans et six mois sera ainsi prononcée, l'appel étant partiellement admis sur ce point, mais pour un motif non plaidé.</w:t>
      </w:r>
    </w:p>
    <w:p>
      <w:r>
        <w:rPr>
          <w:b/>
        </w:rPr>
        <w:t>E. 5</w:t>
      </w:r>
    </w:p>
    <w:p>
      <w:r>
        <w:t>Vu ce qui précède, les conclusions en indemnisation de l'appelant seront rejetées.</w:t>
      </w:r>
    </w:p>
    <w:p>
      <w:r>
        <w:rPr>
          <w:b/>
        </w:rPr>
        <w:t>E. 6</w:t>
      </w:r>
    </w:p>
    <w:p>
      <w:r>
        <w:t>Les motifs ayant conduit les premiers juges à prononcer, par ordonnance séparée du 2 mai 2019, le maintien de l'appelant en détention pour des motifs de sûreté sont toujours d'actualité, ce que celui ne conteste au demeurant pas, de sorte que la mesure sera reconduite mutatis mutandis (ATF 139 IV 277 consid. 2.2 à 2.3).</w:t>
      </w:r>
    </w:p>
    <w:p>
      <w:r>
        <w:rPr>
          <w:b/>
        </w:rPr>
        <w:t>E. 7</w:t>
      </w:r>
    </w:p>
    <w:p>
      <w:r>
        <w:t>L'appelant, qui succombe pour la plus grande partie, supportera les frais de la procédure envers l'État à hauteur des trois-quarts comprenant un émolument d'arrêt de CHF 2'500.- (art. 428 CPP).</w:t>
      </w:r>
    </w:p>
    <w:p>
      <w:r>
        <w:rPr>
          <w:b/>
        </w:rPr>
        <w:t>E. 8</w:t>
      </w:r>
    </w:p>
    <w:p>
      <w:r>
        <w:t>8.1.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8.2.1. En l'occurrence, l'état de frais produit par le conseil de l'appelant paraît globalement adéquat et conforme aux dispositions et principes qui précèdent, sous la réserve du nombre excessif d'heures consacrées à l'étude du dossier et la rédaction du mémoire d'appel qui seront ramenés à 12 heures. En conclusion, l'indemnité sera arrêtée à CHF 2'093.70 correspondant à 1h30mn d'activité au tarif de CHF 200.-/heure et 12h correspondant au tarif de CHF 110.-/heure plus la majoration forfaitaire de 20% (CHF 324.-) et l'équivalent de la TVA au taux de 7.7% en CHF 149.70. 8.2.2. L'état de frais produit par le conseil des parties plaignantes paraît adéquat et conforme aux dispositions et principes qui précèdent, de sorte qu'il sera admis sans en reprendre le détail. En conclusion, l'indemnité sera arrêtée à CHF 1'184.70 correspondant à cinq heures d'activité au tarif de CHF 200.-/heure plus la majoration forfaitaire de 10% et l'équivalent de la TVA au taux de 7.7% en CHF 84.70.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